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3BFAB6" w14:textId="01516BE7" w:rsidR="00600864" w:rsidRPr="00DF0F29" w:rsidRDefault="00003683" w:rsidP="007122E6">
      <w:pPr>
        <w:tabs>
          <w:tab w:val="left" w:pos="5670"/>
        </w:tabs>
        <w:spacing w:after="0" w:line="240" w:lineRule="auto"/>
        <w:rPr>
          <w:rFonts w:ascii="Arial" w:hAnsi="Arial" w:cs="Arial"/>
          <w:sz w:val="24"/>
          <w:szCs w:val="24"/>
          <w:lang w:val="et-EE"/>
        </w:rPr>
      </w:pPr>
      <w:r>
        <w:rPr>
          <w:rFonts w:ascii="Arial" w:hAnsi="Arial" w:cs="Arial"/>
          <w:sz w:val="24"/>
          <w:szCs w:val="24"/>
          <w:lang w:val="et-EE"/>
        </w:rPr>
        <w:t>Justiitsministeerium</w:t>
      </w:r>
      <w:r w:rsidR="00785030">
        <w:rPr>
          <w:rFonts w:ascii="Arial" w:hAnsi="Arial" w:cs="Arial"/>
          <w:sz w:val="24"/>
          <w:szCs w:val="24"/>
          <w:lang w:val="et-EE"/>
        </w:rPr>
        <w:t xml:space="preserve"> </w:t>
      </w:r>
      <w:r w:rsidR="00DF0F29" w:rsidRPr="00DF0F29">
        <w:rPr>
          <w:rFonts w:ascii="Arial" w:hAnsi="Arial" w:cs="Arial"/>
          <w:sz w:val="24"/>
          <w:szCs w:val="24"/>
          <w:lang w:val="et-EE"/>
        </w:rPr>
        <w:tab/>
      </w:r>
      <w:r w:rsidR="00600864" w:rsidRPr="00DF0F29">
        <w:rPr>
          <w:rFonts w:ascii="Arial" w:hAnsi="Arial" w:cs="Arial"/>
          <w:sz w:val="24"/>
          <w:szCs w:val="24"/>
          <w:lang w:val="et-EE"/>
        </w:rPr>
        <w:t xml:space="preserve">Teie </w:t>
      </w:r>
      <w:r w:rsidR="00B323D5" w:rsidRPr="00B323D5">
        <w:rPr>
          <w:rFonts w:ascii="Arial" w:hAnsi="Arial" w:cs="Arial"/>
          <w:sz w:val="24"/>
          <w:szCs w:val="24"/>
          <w:lang w:val="et-EE"/>
        </w:rPr>
        <w:t>14.04.2023</w:t>
      </w:r>
      <w:r w:rsidR="00B323D5">
        <w:rPr>
          <w:rFonts w:ascii="Arial" w:hAnsi="Arial" w:cs="Arial"/>
          <w:sz w:val="24"/>
          <w:szCs w:val="24"/>
          <w:lang w:val="et-EE"/>
        </w:rPr>
        <w:t xml:space="preserve"> </w:t>
      </w:r>
      <w:r w:rsidR="00B323D5" w:rsidRPr="00B323D5">
        <w:rPr>
          <w:rFonts w:ascii="Arial" w:hAnsi="Arial" w:cs="Arial"/>
          <w:sz w:val="24"/>
          <w:szCs w:val="24"/>
          <w:lang w:val="et-EE"/>
        </w:rPr>
        <w:t>nr 7-1/2346</w:t>
      </w:r>
    </w:p>
    <w:p w14:paraId="1177472D" w14:textId="178D8DC4" w:rsidR="004D729F" w:rsidRPr="004D729F" w:rsidRDefault="00000000" w:rsidP="00BF78D7">
      <w:pPr>
        <w:tabs>
          <w:tab w:val="left" w:pos="5529"/>
        </w:tabs>
        <w:spacing w:after="0" w:line="240" w:lineRule="auto"/>
        <w:rPr>
          <w:rFonts w:ascii="Arial" w:hAnsi="Arial" w:cs="Arial"/>
          <w:sz w:val="24"/>
          <w:szCs w:val="24"/>
        </w:rPr>
      </w:pPr>
      <w:hyperlink r:id="rId8" w:history="1">
        <w:r w:rsidR="004D729F" w:rsidRPr="004D729F">
          <w:rPr>
            <w:rStyle w:val="Hperlink"/>
            <w:rFonts w:ascii="Arial" w:hAnsi="Arial" w:cs="Arial"/>
            <w:sz w:val="24"/>
            <w:szCs w:val="24"/>
          </w:rPr>
          <w:t>info@just.ee</w:t>
        </w:r>
      </w:hyperlink>
    </w:p>
    <w:p w14:paraId="3B712A27" w14:textId="0D407114" w:rsidR="001A3EC6" w:rsidRPr="002B2966" w:rsidRDefault="00000000" w:rsidP="007122E6">
      <w:pPr>
        <w:tabs>
          <w:tab w:val="left" w:pos="5670"/>
        </w:tabs>
        <w:spacing w:after="0" w:line="240" w:lineRule="auto"/>
        <w:rPr>
          <w:rFonts w:ascii="Arial" w:hAnsi="Arial" w:cs="Arial"/>
          <w:sz w:val="24"/>
          <w:szCs w:val="24"/>
          <w:lang w:val="et-EE"/>
        </w:rPr>
      </w:pPr>
      <w:hyperlink r:id="rId9" w:history="1">
        <w:r w:rsidR="004D729F" w:rsidRPr="004D729F">
          <w:rPr>
            <w:rStyle w:val="Hperlink"/>
            <w:rFonts w:ascii="Arial" w:hAnsi="Arial" w:cs="Arial"/>
            <w:sz w:val="24"/>
            <w:szCs w:val="24"/>
          </w:rPr>
          <w:t>Kadi.Karus@just.ee</w:t>
        </w:r>
      </w:hyperlink>
      <w:r w:rsidR="00DF0F29" w:rsidRPr="002B2966">
        <w:rPr>
          <w:rFonts w:ascii="Arial" w:hAnsi="Arial" w:cs="Arial"/>
          <w:sz w:val="24"/>
          <w:szCs w:val="24"/>
          <w:lang w:val="et-EE"/>
        </w:rPr>
        <w:tab/>
      </w:r>
      <w:r w:rsidR="004D729F" w:rsidRPr="002700EF">
        <w:rPr>
          <w:rFonts w:ascii="Arial" w:hAnsi="Arial" w:cs="Arial"/>
          <w:sz w:val="24"/>
          <w:szCs w:val="24"/>
          <w:lang w:val="et-EE"/>
        </w:rPr>
        <w:t xml:space="preserve">Meie </w:t>
      </w:r>
      <w:r w:rsidR="00E95A36" w:rsidRPr="002700EF">
        <w:rPr>
          <w:rFonts w:ascii="Arial" w:hAnsi="Arial" w:cs="Arial"/>
          <w:sz w:val="24"/>
          <w:szCs w:val="24"/>
          <w:lang w:val="et-EE"/>
        </w:rPr>
        <w:t>27.04.2023 nr 4/</w:t>
      </w:r>
      <w:r w:rsidR="002700EF" w:rsidRPr="002700EF">
        <w:rPr>
          <w:rFonts w:ascii="Arial" w:hAnsi="Arial" w:cs="Arial"/>
          <w:sz w:val="24"/>
          <w:szCs w:val="24"/>
          <w:lang w:val="et-EE"/>
        </w:rPr>
        <w:t>77</w:t>
      </w:r>
    </w:p>
    <w:p w14:paraId="73C43B48" w14:textId="77777777" w:rsidR="00DF0F29" w:rsidRPr="00CA176D" w:rsidRDefault="00DF0F29" w:rsidP="00DF0F29">
      <w:pPr>
        <w:spacing w:after="0" w:line="240" w:lineRule="auto"/>
        <w:rPr>
          <w:rFonts w:ascii="Arial" w:hAnsi="Arial" w:cs="Arial"/>
          <w:sz w:val="24"/>
          <w:szCs w:val="24"/>
          <w:lang w:val="et-EE"/>
        </w:rPr>
      </w:pPr>
    </w:p>
    <w:p w14:paraId="6AA3A92A" w14:textId="77777777" w:rsidR="00DF0F29" w:rsidRPr="00CA176D" w:rsidRDefault="00DF0F29" w:rsidP="00DF0F29">
      <w:pPr>
        <w:spacing w:after="0" w:line="240" w:lineRule="auto"/>
        <w:rPr>
          <w:rFonts w:ascii="Arial" w:hAnsi="Arial" w:cs="Arial"/>
          <w:sz w:val="24"/>
          <w:szCs w:val="24"/>
          <w:lang w:val="et-EE"/>
        </w:rPr>
      </w:pPr>
    </w:p>
    <w:p w14:paraId="79F33A9F" w14:textId="5A04B158" w:rsidR="007F1322" w:rsidRPr="00CA176D" w:rsidRDefault="007F1322" w:rsidP="00DF0F29">
      <w:pPr>
        <w:spacing w:after="0" w:line="240" w:lineRule="auto"/>
        <w:rPr>
          <w:rFonts w:ascii="Arial" w:hAnsi="Arial" w:cs="Arial"/>
          <w:sz w:val="24"/>
          <w:szCs w:val="24"/>
          <w:lang w:val="et-EE"/>
        </w:rPr>
      </w:pPr>
    </w:p>
    <w:p w14:paraId="011469C5" w14:textId="072A5428" w:rsidR="00BF78D7" w:rsidRPr="00CA176D" w:rsidRDefault="00BF78D7" w:rsidP="00DF0F29">
      <w:pPr>
        <w:spacing w:after="0" w:line="240" w:lineRule="auto"/>
        <w:rPr>
          <w:rFonts w:ascii="Arial" w:hAnsi="Arial" w:cs="Arial"/>
          <w:sz w:val="24"/>
          <w:szCs w:val="24"/>
          <w:lang w:val="et-EE"/>
        </w:rPr>
      </w:pPr>
    </w:p>
    <w:p w14:paraId="7DEB2EBD" w14:textId="77777777" w:rsidR="00BF78D7" w:rsidRPr="00CA176D" w:rsidRDefault="00BF78D7" w:rsidP="00DF0F29">
      <w:pPr>
        <w:spacing w:after="0" w:line="240" w:lineRule="auto"/>
        <w:rPr>
          <w:rFonts w:ascii="Arial" w:hAnsi="Arial" w:cs="Arial"/>
          <w:sz w:val="24"/>
          <w:szCs w:val="24"/>
          <w:lang w:val="et-EE"/>
        </w:rPr>
      </w:pPr>
    </w:p>
    <w:p w14:paraId="478D0823" w14:textId="77777777" w:rsidR="002700EF" w:rsidRDefault="00D853DE" w:rsidP="00A465B8">
      <w:pPr>
        <w:spacing w:after="0" w:line="240" w:lineRule="auto"/>
        <w:rPr>
          <w:rFonts w:ascii="Arial" w:hAnsi="Arial" w:cs="Arial"/>
          <w:b/>
          <w:sz w:val="24"/>
          <w:szCs w:val="24"/>
          <w:lang w:val="et-EE"/>
        </w:rPr>
      </w:pPr>
      <w:r>
        <w:rPr>
          <w:rFonts w:ascii="Arial" w:hAnsi="Arial" w:cs="Arial"/>
          <w:b/>
          <w:sz w:val="24"/>
          <w:szCs w:val="24"/>
          <w:lang w:val="et-EE"/>
        </w:rPr>
        <w:t xml:space="preserve">Arvamuse avaldamine </w:t>
      </w:r>
      <w:r w:rsidR="00032329">
        <w:rPr>
          <w:rFonts w:ascii="Arial" w:hAnsi="Arial" w:cs="Arial"/>
          <w:b/>
          <w:sz w:val="24"/>
          <w:szCs w:val="24"/>
          <w:lang w:val="et-EE"/>
        </w:rPr>
        <w:t>ä</w:t>
      </w:r>
      <w:r w:rsidR="00032329" w:rsidRPr="00032329">
        <w:rPr>
          <w:rFonts w:ascii="Arial" w:hAnsi="Arial" w:cs="Arial"/>
          <w:b/>
          <w:sz w:val="24"/>
          <w:szCs w:val="24"/>
          <w:lang w:val="et-EE"/>
        </w:rPr>
        <w:t>riühingute kestliku juhtimise</w:t>
      </w:r>
      <w:r w:rsidR="006B4EEB">
        <w:rPr>
          <w:rFonts w:ascii="Arial" w:hAnsi="Arial" w:cs="Arial"/>
          <w:b/>
          <w:sz w:val="24"/>
          <w:szCs w:val="24"/>
          <w:lang w:val="et-EE"/>
        </w:rPr>
        <w:t xml:space="preserve"> </w:t>
      </w:r>
    </w:p>
    <w:p w14:paraId="1B37E2CF" w14:textId="47529E3B" w:rsidR="00C636F0" w:rsidRPr="00DF0F29" w:rsidRDefault="00032329" w:rsidP="00A465B8">
      <w:pPr>
        <w:spacing w:after="0" w:line="240" w:lineRule="auto"/>
        <w:rPr>
          <w:rFonts w:ascii="Arial" w:hAnsi="Arial" w:cs="Arial"/>
          <w:sz w:val="24"/>
          <w:szCs w:val="24"/>
          <w:lang w:val="et-EE"/>
        </w:rPr>
      </w:pPr>
      <w:r w:rsidRPr="00032329">
        <w:rPr>
          <w:rFonts w:ascii="Arial" w:hAnsi="Arial" w:cs="Arial"/>
          <w:b/>
          <w:sz w:val="24"/>
          <w:szCs w:val="24"/>
          <w:lang w:val="et-EE"/>
        </w:rPr>
        <w:t xml:space="preserve">ja hoolsuskohustuse direktiivi </w:t>
      </w:r>
      <w:r w:rsidR="00DA2215">
        <w:rPr>
          <w:rFonts w:ascii="Arial" w:hAnsi="Arial" w:cs="Arial"/>
          <w:b/>
          <w:sz w:val="24"/>
          <w:szCs w:val="24"/>
          <w:lang w:val="et-EE"/>
        </w:rPr>
        <w:t>ettepaneku</w:t>
      </w:r>
      <w:r>
        <w:rPr>
          <w:rFonts w:ascii="Arial" w:hAnsi="Arial" w:cs="Arial"/>
          <w:b/>
          <w:sz w:val="24"/>
          <w:szCs w:val="24"/>
          <w:lang w:val="et-EE"/>
        </w:rPr>
        <w:t xml:space="preserve"> </w:t>
      </w:r>
      <w:r w:rsidR="00D853DE">
        <w:rPr>
          <w:rFonts w:ascii="Arial" w:hAnsi="Arial" w:cs="Arial"/>
          <w:b/>
          <w:sz w:val="24"/>
          <w:szCs w:val="24"/>
          <w:lang w:val="et-EE"/>
        </w:rPr>
        <w:t>kohta</w:t>
      </w:r>
    </w:p>
    <w:p w14:paraId="73D22D2C" w14:textId="77777777" w:rsidR="00DF0F29" w:rsidRPr="00DF0F29" w:rsidRDefault="00DF0F29" w:rsidP="00DF0F29">
      <w:pPr>
        <w:spacing w:after="0" w:line="240" w:lineRule="auto"/>
        <w:rPr>
          <w:rFonts w:ascii="Arial" w:hAnsi="Arial" w:cs="Arial"/>
          <w:sz w:val="24"/>
          <w:szCs w:val="24"/>
          <w:lang w:val="et-EE"/>
        </w:rPr>
      </w:pPr>
    </w:p>
    <w:p w14:paraId="08D24C57" w14:textId="7BA4FF9E" w:rsidR="00600864" w:rsidRPr="00DF0F29" w:rsidRDefault="00600864" w:rsidP="0010351E">
      <w:pPr>
        <w:spacing w:after="0" w:line="240" w:lineRule="auto"/>
        <w:jc w:val="both"/>
        <w:rPr>
          <w:rFonts w:ascii="Arial" w:hAnsi="Arial" w:cs="Arial"/>
          <w:sz w:val="24"/>
          <w:szCs w:val="24"/>
          <w:lang w:val="et-EE"/>
        </w:rPr>
      </w:pPr>
      <w:r w:rsidRPr="00DF0F29">
        <w:rPr>
          <w:rFonts w:ascii="Arial" w:hAnsi="Arial" w:cs="Arial"/>
          <w:sz w:val="24"/>
          <w:szCs w:val="24"/>
          <w:lang w:val="et-EE"/>
        </w:rPr>
        <w:t xml:space="preserve">Lugupeetud </w:t>
      </w:r>
      <w:r w:rsidR="00E95A36" w:rsidRPr="00E95A36">
        <w:rPr>
          <w:rFonts w:ascii="Arial" w:hAnsi="Arial" w:cs="Arial"/>
          <w:sz w:val="24"/>
          <w:szCs w:val="24"/>
          <w:lang w:val="et-EE"/>
        </w:rPr>
        <w:t>Heddi Lutterus</w:t>
      </w:r>
      <w:r w:rsidR="00CB7F95" w:rsidRPr="00DF0F29">
        <w:rPr>
          <w:rFonts w:ascii="Arial" w:hAnsi="Arial" w:cs="Arial"/>
          <w:b/>
          <w:sz w:val="24"/>
          <w:szCs w:val="24"/>
          <w:lang w:val="et-EE"/>
        </w:rPr>
        <w:t>!</w:t>
      </w:r>
    </w:p>
    <w:p w14:paraId="26FD5676" w14:textId="77777777" w:rsidR="00600864" w:rsidRPr="00DF0F29" w:rsidRDefault="00600864" w:rsidP="0010351E">
      <w:pPr>
        <w:spacing w:after="0" w:line="240" w:lineRule="auto"/>
        <w:jc w:val="both"/>
        <w:rPr>
          <w:rFonts w:ascii="Arial" w:hAnsi="Arial" w:cs="Arial"/>
          <w:sz w:val="24"/>
          <w:szCs w:val="24"/>
          <w:lang w:val="et-EE"/>
        </w:rPr>
      </w:pPr>
    </w:p>
    <w:p w14:paraId="5AE4A128" w14:textId="52F7A196" w:rsidR="00600864" w:rsidRDefault="009D0A34" w:rsidP="00565B79">
      <w:pPr>
        <w:spacing w:after="0" w:line="240" w:lineRule="auto"/>
        <w:jc w:val="both"/>
        <w:rPr>
          <w:rFonts w:ascii="Arial" w:hAnsi="Arial" w:cs="Arial"/>
          <w:sz w:val="24"/>
          <w:szCs w:val="24"/>
          <w:lang w:val="et-EE"/>
        </w:rPr>
      </w:pPr>
      <w:r>
        <w:rPr>
          <w:rFonts w:ascii="Arial" w:hAnsi="Arial" w:cs="Arial"/>
          <w:sz w:val="24"/>
          <w:szCs w:val="24"/>
          <w:lang w:val="et-EE"/>
        </w:rPr>
        <w:t xml:space="preserve">Eesti Kaubandus-Tööstuskoda (edaspidi: Kaubanduskoda) tänab </w:t>
      </w:r>
      <w:r w:rsidR="00E95A36">
        <w:rPr>
          <w:rFonts w:ascii="Arial" w:hAnsi="Arial" w:cs="Arial"/>
          <w:sz w:val="24"/>
          <w:szCs w:val="24"/>
          <w:lang w:val="et-EE"/>
        </w:rPr>
        <w:t>Justiits</w:t>
      </w:r>
      <w:r>
        <w:rPr>
          <w:rFonts w:ascii="Arial" w:hAnsi="Arial" w:cs="Arial"/>
          <w:sz w:val="24"/>
          <w:szCs w:val="24"/>
          <w:lang w:val="et-EE"/>
        </w:rPr>
        <w:t xml:space="preserve">ministeeriumit võimaluse eest avaldada arvamust </w:t>
      </w:r>
      <w:r w:rsidR="00B01746" w:rsidRPr="00B01746">
        <w:rPr>
          <w:rFonts w:ascii="Arial" w:hAnsi="Arial" w:cs="Arial"/>
          <w:sz w:val="24"/>
          <w:szCs w:val="24"/>
          <w:lang w:val="et-EE"/>
        </w:rPr>
        <w:t>Euroopa Parlamendi ja nõukogu</w:t>
      </w:r>
      <w:r w:rsidR="00B01746">
        <w:rPr>
          <w:rFonts w:ascii="Arial" w:hAnsi="Arial" w:cs="Arial"/>
          <w:sz w:val="24"/>
          <w:szCs w:val="24"/>
          <w:lang w:val="et-EE"/>
        </w:rPr>
        <w:t xml:space="preserve"> direktiivi ettepaneku kohta, </w:t>
      </w:r>
      <w:r w:rsidR="00565B79" w:rsidRPr="00565B79">
        <w:rPr>
          <w:rFonts w:ascii="Arial" w:hAnsi="Arial" w:cs="Arial"/>
          <w:sz w:val="24"/>
          <w:szCs w:val="24"/>
          <w:lang w:val="et-EE"/>
        </w:rPr>
        <w:t>mis käsitleb äriühingute kestlikkusalast hoolsuskohustust ja millega muudetakse direktiivi (EL) 2019/1937</w:t>
      </w:r>
      <w:r w:rsidR="00B01746">
        <w:rPr>
          <w:rFonts w:ascii="Arial" w:hAnsi="Arial" w:cs="Arial"/>
          <w:sz w:val="24"/>
          <w:szCs w:val="24"/>
          <w:lang w:val="et-EE"/>
        </w:rPr>
        <w:t>.</w:t>
      </w:r>
    </w:p>
    <w:p w14:paraId="6A218656" w14:textId="407590A4" w:rsidR="00CA176D" w:rsidRDefault="00D114DB" w:rsidP="00162AD2">
      <w:pPr>
        <w:spacing w:before="120" w:after="0" w:line="240" w:lineRule="auto"/>
        <w:jc w:val="both"/>
        <w:rPr>
          <w:rFonts w:ascii="Arial" w:hAnsi="Arial" w:cs="Arial"/>
          <w:sz w:val="24"/>
          <w:szCs w:val="24"/>
          <w:lang w:val="et-EE"/>
        </w:rPr>
      </w:pPr>
      <w:r>
        <w:rPr>
          <w:rFonts w:ascii="Arial" w:hAnsi="Arial" w:cs="Arial"/>
          <w:sz w:val="24"/>
          <w:szCs w:val="24"/>
          <w:lang w:val="et-EE"/>
        </w:rPr>
        <w:t xml:space="preserve">Kaubanduskoda peab väga positiivseks, et Justiitsministeerium on </w:t>
      </w:r>
      <w:r w:rsidR="00FA015D">
        <w:rPr>
          <w:rFonts w:ascii="Arial" w:hAnsi="Arial" w:cs="Arial"/>
          <w:sz w:val="24"/>
          <w:szCs w:val="24"/>
          <w:lang w:val="et-EE"/>
        </w:rPr>
        <w:t xml:space="preserve">huvigruppe </w:t>
      </w:r>
      <w:r>
        <w:rPr>
          <w:rFonts w:ascii="Arial" w:hAnsi="Arial" w:cs="Arial"/>
          <w:sz w:val="24"/>
          <w:szCs w:val="24"/>
          <w:lang w:val="et-EE"/>
        </w:rPr>
        <w:t xml:space="preserve">pidevalt hoidnud kursis </w:t>
      </w:r>
      <w:r w:rsidR="009A7E9B">
        <w:rPr>
          <w:rFonts w:ascii="Arial" w:hAnsi="Arial" w:cs="Arial"/>
          <w:sz w:val="24"/>
          <w:szCs w:val="24"/>
          <w:lang w:val="et-EE"/>
        </w:rPr>
        <w:t>selle</w:t>
      </w:r>
      <w:r w:rsidRPr="00D114DB">
        <w:rPr>
          <w:rFonts w:ascii="Arial" w:hAnsi="Arial" w:cs="Arial"/>
          <w:sz w:val="24"/>
          <w:szCs w:val="24"/>
          <w:lang w:val="et-EE"/>
        </w:rPr>
        <w:t xml:space="preserve"> direktiivi menetluse</w:t>
      </w:r>
      <w:r>
        <w:rPr>
          <w:rFonts w:ascii="Arial" w:hAnsi="Arial" w:cs="Arial"/>
          <w:sz w:val="24"/>
          <w:szCs w:val="24"/>
          <w:lang w:val="et-EE"/>
        </w:rPr>
        <w:t>ga</w:t>
      </w:r>
      <w:r w:rsidR="000B22C8">
        <w:rPr>
          <w:rFonts w:ascii="Arial" w:hAnsi="Arial" w:cs="Arial"/>
          <w:sz w:val="24"/>
          <w:szCs w:val="24"/>
          <w:lang w:val="et-EE"/>
        </w:rPr>
        <w:t xml:space="preserve"> ning kaasanud </w:t>
      </w:r>
      <w:r w:rsidR="009A7E9B">
        <w:rPr>
          <w:rFonts w:ascii="Arial" w:hAnsi="Arial" w:cs="Arial"/>
          <w:sz w:val="24"/>
          <w:szCs w:val="24"/>
          <w:lang w:val="et-EE"/>
        </w:rPr>
        <w:t xml:space="preserve">meid </w:t>
      </w:r>
      <w:r w:rsidR="000B22C8">
        <w:rPr>
          <w:rFonts w:ascii="Arial" w:hAnsi="Arial" w:cs="Arial"/>
          <w:sz w:val="24"/>
          <w:szCs w:val="24"/>
          <w:lang w:val="et-EE"/>
        </w:rPr>
        <w:t xml:space="preserve">uute arengute korral. </w:t>
      </w:r>
      <w:r w:rsidR="00332069">
        <w:rPr>
          <w:rFonts w:ascii="Arial" w:hAnsi="Arial" w:cs="Arial"/>
          <w:sz w:val="24"/>
          <w:szCs w:val="24"/>
          <w:lang w:val="et-EE"/>
        </w:rPr>
        <w:t xml:space="preserve">Kiidame </w:t>
      </w:r>
      <w:r w:rsidR="009C4198">
        <w:rPr>
          <w:rFonts w:ascii="Arial" w:hAnsi="Arial" w:cs="Arial"/>
          <w:sz w:val="24"/>
          <w:szCs w:val="24"/>
          <w:lang w:val="et-EE"/>
        </w:rPr>
        <w:t xml:space="preserve">ministeeriumit </w:t>
      </w:r>
      <w:r w:rsidR="00876F7B">
        <w:rPr>
          <w:rFonts w:ascii="Arial" w:hAnsi="Arial" w:cs="Arial"/>
          <w:sz w:val="24"/>
          <w:szCs w:val="24"/>
          <w:lang w:val="et-EE"/>
        </w:rPr>
        <w:t xml:space="preserve">ka </w:t>
      </w:r>
      <w:r w:rsidR="009C4198">
        <w:rPr>
          <w:rFonts w:ascii="Arial" w:hAnsi="Arial" w:cs="Arial"/>
          <w:sz w:val="24"/>
          <w:szCs w:val="24"/>
          <w:lang w:val="et-EE"/>
        </w:rPr>
        <w:t xml:space="preserve">selle eest, et olete teinud direktiivi menetluse käigust </w:t>
      </w:r>
      <w:r w:rsidR="009325E4">
        <w:rPr>
          <w:rFonts w:ascii="Arial" w:hAnsi="Arial" w:cs="Arial"/>
          <w:sz w:val="24"/>
          <w:szCs w:val="24"/>
          <w:lang w:val="et-EE"/>
        </w:rPr>
        <w:t xml:space="preserve">väga hea </w:t>
      </w:r>
      <w:r w:rsidR="009C4198">
        <w:rPr>
          <w:rFonts w:ascii="Arial" w:hAnsi="Arial" w:cs="Arial"/>
          <w:sz w:val="24"/>
          <w:szCs w:val="24"/>
          <w:lang w:val="et-EE"/>
        </w:rPr>
        <w:t>ülevaate ning toonud</w:t>
      </w:r>
      <w:r w:rsidR="009325E4">
        <w:rPr>
          <w:rFonts w:ascii="Arial" w:hAnsi="Arial" w:cs="Arial"/>
          <w:sz w:val="24"/>
          <w:szCs w:val="24"/>
          <w:lang w:val="et-EE"/>
        </w:rPr>
        <w:t xml:space="preserve"> välja</w:t>
      </w:r>
      <w:r w:rsidR="009C4198">
        <w:rPr>
          <w:rFonts w:ascii="Arial" w:hAnsi="Arial" w:cs="Arial"/>
          <w:sz w:val="24"/>
          <w:szCs w:val="24"/>
          <w:lang w:val="et-EE"/>
        </w:rPr>
        <w:t>, milliste põhimõtete eest on Eesti seisnud</w:t>
      </w:r>
      <w:r w:rsidR="00876F7B">
        <w:rPr>
          <w:rFonts w:ascii="Arial" w:hAnsi="Arial" w:cs="Arial"/>
          <w:sz w:val="24"/>
          <w:szCs w:val="24"/>
          <w:lang w:val="et-EE"/>
        </w:rPr>
        <w:t xml:space="preserve">, </w:t>
      </w:r>
      <w:r w:rsidR="00FA015D">
        <w:rPr>
          <w:rFonts w:ascii="Arial" w:hAnsi="Arial" w:cs="Arial"/>
          <w:sz w:val="24"/>
          <w:szCs w:val="24"/>
          <w:lang w:val="et-EE"/>
        </w:rPr>
        <w:t>milliseid Eesti seisukohti on kasvõi osaliselt arvesse võetud ja milliseid mitte. Samuti</w:t>
      </w:r>
      <w:r w:rsidR="00FE053B">
        <w:rPr>
          <w:rFonts w:ascii="Arial" w:hAnsi="Arial" w:cs="Arial"/>
          <w:sz w:val="24"/>
          <w:szCs w:val="24"/>
          <w:lang w:val="et-EE"/>
        </w:rPr>
        <w:t xml:space="preserve"> on heaks praktika</w:t>
      </w:r>
      <w:r w:rsidR="00763A9B">
        <w:rPr>
          <w:rFonts w:ascii="Arial" w:hAnsi="Arial" w:cs="Arial"/>
          <w:sz w:val="24"/>
          <w:szCs w:val="24"/>
          <w:lang w:val="et-EE"/>
        </w:rPr>
        <w:t>k</w:t>
      </w:r>
      <w:r w:rsidR="00FE053B">
        <w:rPr>
          <w:rFonts w:ascii="Arial" w:hAnsi="Arial" w:cs="Arial"/>
          <w:sz w:val="24"/>
          <w:szCs w:val="24"/>
          <w:lang w:val="et-EE"/>
        </w:rPr>
        <w:t xml:space="preserve">s see, et huvigruppidele ei saadetud ülevaatamiseks </w:t>
      </w:r>
      <w:r w:rsidR="00343096">
        <w:rPr>
          <w:rFonts w:ascii="Arial" w:hAnsi="Arial" w:cs="Arial"/>
          <w:sz w:val="24"/>
          <w:szCs w:val="24"/>
          <w:lang w:val="et-EE"/>
        </w:rPr>
        <w:t xml:space="preserve">üksnes </w:t>
      </w:r>
      <w:r w:rsidR="00FE053B">
        <w:rPr>
          <w:rFonts w:ascii="Arial" w:hAnsi="Arial" w:cs="Arial"/>
          <w:sz w:val="24"/>
          <w:szCs w:val="24"/>
          <w:lang w:val="et-EE"/>
        </w:rPr>
        <w:t xml:space="preserve">Euroopa Parlamendi </w:t>
      </w:r>
      <w:r w:rsidR="0008663F">
        <w:rPr>
          <w:rFonts w:ascii="Arial" w:hAnsi="Arial" w:cs="Arial"/>
          <w:sz w:val="24"/>
          <w:szCs w:val="24"/>
          <w:lang w:val="et-EE"/>
        </w:rPr>
        <w:t>mahukat muudatusettepanekute paketti, vaid tõite sealt välja Eesti jaoks kõige olulisemad punktid</w:t>
      </w:r>
      <w:r w:rsidR="00343096">
        <w:rPr>
          <w:rFonts w:ascii="Arial" w:hAnsi="Arial" w:cs="Arial"/>
          <w:sz w:val="24"/>
          <w:szCs w:val="24"/>
          <w:lang w:val="et-EE"/>
        </w:rPr>
        <w:t xml:space="preserve">, mille osas </w:t>
      </w:r>
      <w:r w:rsidR="00DF7591">
        <w:rPr>
          <w:rFonts w:ascii="Arial" w:hAnsi="Arial" w:cs="Arial"/>
          <w:sz w:val="24"/>
          <w:szCs w:val="24"/>
          <w:lang w:val="et-EE"/>
        </w:rPr>
        <w:t xml:space="preserve">eelkõige </w:t>
      </w:r>
      <w:r w:rsidR="00343096">
        <w:rPr>
          <w:rFonts w:ascii="Arial" w:hAnsi="Arial" w:cs="Arial"/>
          <w:sz w:val="24"/>
          <w:szCs w:val="24"/>
          <w:lang w:val="et-EE"/>
        </w:rPr>
        <w:t>tagasisidet ootate</w:t>
      </w:r>
      <w:r w:rsidR="0008663F">
        <w:rPr>
          <w:rFonts w:ascii="Arial" w:hAnsi="Arial" w:cs="Arial"/>
          <w:sz w:val="24"/>
          <w:szCs w:val="24"/>
          <w:lang w:val="et-EE"/>
        </w:rPr>
        <w:t>. Se</w:t>
      </w:r>
      <w:r w:rsidR="00B11B58">
        <w:rPr>
          <w:rFonts w:ascii="Arial" w:hAnsi="Arial" w:cs="Arial"/>
          <w:sz w:val="24"/>
          <w:szCs w:val="24"/>
          <w:lang w:val="et-EE"/>
        </w:rPr>
        <w:t>lline väga hea eeltöö</w:t>
      </w:r>
      <w:r w:rsidR="00343096">
        <w:rPr>
          <w:rFonts w:ascii="Arial" w:hAnsi="Arial" w:cs="Arial"/>
          <w:sz w:val="24"/>
          <w:szCs w:val="24"/>
          <w:lang w:val="et-EE"/>
        </w:rPr>
        <w:t xml:space="preserve"> </w:t>
      </w:r>
      <w:r w:rsidR="00B11B58">
        <w:rPr>
          <w:rFonts w:ascii="Arial" w:hAnsi="Arial" w:cs="Arial"/>
          <w:sz w:val="24"/>
          <w:szCs w:val="24"/>
          <w:lang w:val="et-EE"/>
        </w:rPr>
        <w:t>lihtsustab huvigruppidel teemast</w:t>
      </w:r>
      <w:r w:rsidR="00162AD2">
        <w:rPr>
          <w:rFonts w:ascii="Arial" w:hAnsi="Arial" w:cs="Arial"/>
          <w:sz w:val="24"/>
          <w:szCs w:val="24"/>
          <w:lang w:val="et-EE"/>
        </w:rPr>
        <w:t xml:space="preserve"> paremini aru saada ning oma seisukohti esitada. Loodame, et Justiitsministeerium kasutab ka teiste </w:t>
      </w:r>
      <w:r w:rsidR="00AF7658">
        <w:rPr>
          <w:rFonts w:ascii="Arial" w:hAnsi="Arial" w:cs="Arial"/>
          <w:sz w:val="24"/>
          <w:szCs w:val="24"/>
          <w:lang w:val="et-EE"/>
        </w:rPr>
        <w:t>olulisemate</w:t>
      </w:r>
      <w:r w:rsidR="00AF7658">
        <w:rPr>
          <w:rFonts w:ascii="Arial" w:hAnsi="Arial" w:cs="Arial"/>
          <w:sz w:val="24"/>
          <w:szCs w:val="24"/>
          <w:lang w:val="et-EE"/>
        </w:rPr>
        <w:t xml:space="preserve"> </w:t>
      </w:r>
      <w:r w:rsidR="00162AD2">
        <w:rPr>
          <w:rFonts w:ascii="Arial" w:hAnsi="Arial" w:cs="Arial"/>
          <w:sz w:val="24"/>
          <w:szCs w:val="24"/>
          <w:lang w:val="et-EE"/>
        </w:rPr>
        <w:t>ELi ettepanekute osas sarnast praktikat ning see levib ka teistesse ministeeriumitesse.</w:t>
      </w:r>
    </w:p>
    <w:p w14:paraId="6EABB077" w14:textId="3D9AE7F4" w:rsidR="00DD18FC" w:rsidRDefault="00B01746" w:rsidP="00162AD2">
      <w:pPr>
        <w:spacing w:before="120" w:after="0" w:line="240" w:lineRule="auto"/>
        <w:jc w:val="both"/>
        <w:rPr>
          <w:rFonts w:ascii="Arial" w:hAnsi="Arial" w:cs="Arial"/>
          <w:sz w:val="24"/>
          <w:szCs w:val="24"/>
          <w:lang w:val="et-EE"/>
        </w:rPr>
      </w:pPr>
      <w:r>
        <w:rPr>
          <w:rFonts w:ascii="Arial" w:hAnsi="Arial" w:cs="Arial"/>
          <w:sz w:val="24"/>
          <w:szCs w:val="24"/>
          <w:lang w:val="et-EE"/>
        </w:rPr>
        <w:t>Järgn</w:t>
      </w:r>
      <w:r w:rsidR="00643588">
        <w:rPr>
          <w:rFonts w:ascii="Arial" w:hAnsi="Arial" w:cs="Arial"/>
          <w:sz w:val="24"/>
          <w:szCs w:val="24"/>
          <w:lang w:val="et-EE"/>
        </w:rPr>
        <w:t>e</w:t>
      </w:r>
      <w:r>
        <w:rPr>
          <w:rFonts w:ascii="Arial" w:hAnsi="Arial" w:cs="Arial"/>
          <w:sz w:val="24"/>
          <w:szCs w:val="24"/>
          <w:lang w:val="et-EE"/>
        </w:rPr>
        <w:t xml:space="preserve">valt esitame oma </w:t>
      </w:r>
      <w:r w:rsidR="00AF7658">
        <w:rPr>
          <w:rFonts w:ascii="Arial" w:hAnsi="Arial" w:cs="Arial"/>
          <w:sz w:val="24"/>
          <w:szCs w:val="24"/>
          <w:lang w:val="et-EE"/>
        </w:rPr>
        <w:t>seisukohad</w:t>
      </w:r>
      <w:r>
        <w:rPr>
          <w:rFonts w:ascii="Arial" w:hAnsi="Arial" w:cs="Arial"/>
          <w:sz w:val="24"/>
          <w:szCs w:val="24"/>
          <w:lang w:val="et-EE"/>
        </w:rPr>
        <w:t xml:space="preserve"> Justiitsministeeriumi poolt esile tõstetud teemade</w:t>
      </w:r>
      <w:r w:rsidR="00162AD2">
        <w:rPr>
          <w:rFonts w:ascii="Arial" w:hAnsi="Arial" w:cs="Arial"/>
          <w:sz w:val="24"/>
          <w:szCs w:val="24"/>
          <w:lang w:val="et-EE"/>
        </w:rPr>
        <w:t xml:space="preserve">le seoses </w:t>
      </w:r>
      <w:r w:rsidR="00162AD2" w:rsidRPr="00162AD2">
        <w:rPr>
          <w:rFonts w:ascii="Arial" w:hAnsi="Arial" w:cs="Arial"/>
          <w:sz w:val="24"/>
          <w:szCs w:val="24"/>
          <w:lang w:val="et-EE"/>
        </w:rPr>
        <w:t>äriühingute kestliku juhtimise ja hoolsuskohustuse direktiivi</w:t>
      </w:r>
      <w:r>
        <w:rPr>
          <w:rFonts w:ascii="Arial" w:hAnsi="Arial" w:cs="Arial"/>
          <w:sz w:val="24"/>
          <w:szCs w:val="24"/>
          <w:lang w:val="et-EE"/>
        </w:rPr>
        <w:t xml:space="preserve"> </w:t>
      </w:r>
      <w:r w:rsidR="00162AD2">
        <w:rPr>
          <w:rFonts w:ascii="Arial" w:hAnsi="Arial" w:cs="Arial"/>
          <w:sz w:val="24"/>
          <w:szCs w:val="24"/>
          <w:lang w:val="et-EE"/>
        </w:rPr>
        <w:t>ettepanekuga.</w:t>
      </w:r>
    </w:p>
    <w:p w14:paraId="28762B5C" w14:textId="77777777" w:rsidR="00037932" w:rsidRDefault="00037932" w:rsidP="00391D60">
      <w:pPr>
        <w:spacing w:before="120" w:after="120" w:line="240" w:lineRule="auto"/>
        <w:jc w:val="both"/>
        <w:rPr>
          <w:rFonts w:ascii="Arial" w:hAnsi="Arial" w:cs="Arial"/>
          <w:sz w:val="24"/>
          <w:szCs w:val="24"/>
          <w:lang w:val="et-EE"/>
        </w:rPr>
      </w:pPr>
    </w:p>
    <w:p w14:paraId="182742FE" w14:textId="32C7FD64" w:rsidR="009D06CA" w:rsidRPr="00F170E3" w:rsidRDefault="00F170E3" w:rsidP="00974A38">
      <w:pPr>
        <w:spacing w:after="0" w:line="240" w:lineRule="auto"/>
        <w:jc w:val="both"/>
        <w:rPr>
          <w:rFonts w:ascii="Arial" w:hAnsi="Arial" w:cs="Arial"/>
          <w:b/>
          <w:bCs/>
          <w:sz w:val="24"/>
          <w:szCs w:val="24"/>
          <w:lang w:val="et-EE"/>
        </w:rPr>
      </w:pPr>
      <w:r w:rsidRPr="00F170E3">
        <w:rPr>
          <w:rFonts w:ascii="Arial" w:hAnsi="Arial" w:cs="Arial"/>
          <w:b/>
          <w:bCs/>
          <w:sz w:val="24"/>
          <w:szCs w:val="24"/>
          <w:lang w:val="et-EE"/>
        </w:rPr>
        <w:t>1. Direktiivi kohaldamisala künniste alandamine</w:t>
      </w:r>
      <w:r w:rsidR="00DF7BD8">
        <w:rPr>
          <w:rFonts w:ascii="Arial" w:hAnsi="Arial" w:cs="Arial"/>
          <w:b/>
          <w:bCs/>
          <w:sz w:val="24"/>
          <w:szCs w:val="24"/>
          <w:lang w:val="et-EE"/>
        </w:rPr>
        <w:t xml:space="preserve"> </w:t>
      </w:r>
      <w:r w:rsidR="00DF7BD8" w:rsidRPr="00DF7BD8">
        <w:rPr>
          <w:rFonts w:ascii="Arial" w:hAnsi="Arial" w:cs="Arial"/>
          <w:b/>
          <w:bCs/>
          <w:sz w:val="24"/>
          <w:szCs w:val="24"/>
          <w:lang w:val="et-EE"/>
        </w:rPr>
        <w:t>(direktiivi art 2)</w:t>
      </w:r>
    </w:p>
    <w:p w14:paraId="0CCDB3CC" w14:textId="586C6CA8" w:rsidR="00A368B8" w:rsidRPr="00B3647B" w:rsidRDefault="00A368B8" w:rsidP="00974A38">
      <w:pPr>
        <w:pStyle w:val="Default"/>
        <w:jc w:val="both"/>
      </w:pPr>
      <w:r w:rsidRPr="00B3647B">
        <w:t>Üldise lähenemisviisi tekstis (dokumendi lk 63-64) on direktiivi kohaldamisala künnised jäänud samaks nagu Euroopa Komisjoni algses ettepanekus. Vastavalt direktiivi artikli 2 lõike 1 punktidele a ja b kohaldatakse direktiivi järgmistele ettevõtetele:</w:t>
      </w:r>
    </w:p>
    <w:p w14:paraId="4A774ADD" w14:textId="7329B551" w:rsidR="00A368B8" w:rsidRPr="00B3647B" w:rsidRDefault="00A368B8" w:rsidP="00974A38">
      <w:pPr>
        <w:pStyle w:val="Default"/>
        <w:numPr>
          <w:ilvl w:val="0"/>
          <w:numId w:val="13"/>
        </w:numPr>
        <w:spacing w:after="34"/>
        <w:jc w:val="both"/>
      </w:pPr>
      <w:r w:rsidRPr="00B3647B">
        <w:t xml:space="preserve">EL ettevõtted, kellel on üle </w:t>
      </w:r>
      <w:r w:rsidRPr="00B3647B">
        <w:rPr>
          <w:b/>
          <w:bCs/>
        </w:rPr>
        <w:t xml:space="preserve">500 </w:t>
      </w:r>
      <w:r w:rsidRPr="00B3647B">
        <w:t xml:space="preserve">töötaja ning ülemaailmne netokäive üle </w:t>
      </w:r>
      <w:r w:rsidRPr="00B3647B">
        <w:rPr>
          <w:b/>
          <w:bCs/>
        </w:rPr>
        <w:t xml:space="preserve">150 </w:t>
      </w:r>
      <w:r w:rsidRPr="00B3647B">
        <w:t>miljoni euro;</w:t>
      </w:r>
    </w:p>
    <w:p w14:paraId="5D7FCB23" w14:textId="2DEC54EC" w:rsidR="00A368B8" w:rsidRPr="00B3647B" w:rsidRDefault="00A368B8" w:rsidP="00974A38">
      <w:pPr>
        <w:pStyle w:val="Default"/>
        <w:numPr>
          <w:ilvl w:val="0"/>
          <w:numId w:val="13"/>
        </w:numPr>
        <w:spacing w:after="34"/>
        <w:jc w:val="both"/>
      </w:pPr>
      <w:r w:rsidRPr="00B3647B">
        <w:t xml:space="preserve">EL ettevõtted, kellel on üle </w:t>
      </w:r>
      <w:r w:rsidRPr="00B3647B">
        <w:rPr>
          <w:b/>
          <w:bCs/>
        </w:rPr>
        <w:t xml:space="preserve">250 </w:t>
      </w:r>
      <w:r w:rsidRPr="00B3647B">
        <w:t xml:space="preserve">töötaja ning ülemaailmne netokäive üle </w:t>
      </w:r>
      <w:r w:rsidRPr="00B3647B">
        <w:rPr>
          <w:b/>
          <w:bCs/>
        </w:rPr>
        <w:t xml:space="preserve">40 </w:t>
      </w:r>
      <w:r w:rsidRPr="00B3647B">
        <w:t xml:space="preserve">miljoni, millest vähemalt </w:t>
      </w:r>
      <w:r w:rsidRPr="00B3647B">
        <w:rPr>
          <w:b/>
          <w:bCs/>
        </w:rPr>
        <w:t xml:space="preserve">20 </w:t>
      </w:r>
      <w:r w:rsidRPr="00B3647B">
        <w:t>miljonit teeniti kõrge riskiga sektoris</w:t>
      </w:r>
      <w:r w:rsidR="00C32B12">
        <w:t>;</w:t>
      </w:r>
    </w:p>
    <w:p w14:paraId="0AA0E92A" w14:textId="6563FE71" w:rsidR="00A368B8" w:rsidRPr="00B3647B" w:rsidRDefault="00A368B8" w:rsidP="00974A38">
      <w:pPr>
        <w:pStyle w:val="Default"/>
        <w:numPr>
          <w:ilvl w:val="0"/>
          <w:numId w:val="13"/>
        </w:numPr>
        <w:jc w:val="both"/>
      </w:pPr>
      <w:r w:rsidRPr="00B3647B">
        <w:t xml:space="preserve">EL-välised ettevõtted, mis on asutatud kolmanda riigi seaduste alusel ja kelle netokäive EL-is on üle </w:t>
      </w:r>
      <w:r w:rsidRPr="00B3647B">
        <w:rPr>
          <w:b/>
          <w:bCs/>
        </w:rPr>
        <w:t xml:space="preserve">150 </w:t>
      </w:r>
      <w:r w:rsidRPr="00B3647B">
        <w:t xml:space="preserve">miljoni euro </w:t>
      </w:r>
      <w:r w:rsidRPr="00B3647B">
        <w:rPr>
          <w:b/>
          <w:bCs/>
        </w:rPr>
        <w:t xml:space="preserve">või </w:t>
      </w:r>
      <w:r w:rsidRPr="00B3647B">
        <w:t xml:space="preserve">kelle netokäive on EL-is üle </w:t>
      </w:r>
      <w:r w:rsidRPr="00B3647B">
        <w:rPr>
          <w:b/>
          <w:bCs/>
        </w:rPr>
        <w:t xml:space="preserve">40 </w:t>
      </w:r>
      <w:r w:rsidRPr="00B3647B">
        <w:t xml:space="preserve">miljoni, </w:t>
      </w:r>
      <w:r w:rsidRPr="00B3647B">
        <w:lastRenderedPageBreak/>
        <w:t xml:space="preserve">kuid mitte üle </w:t>
      </w:r>
      <w:r w:rsidRPr="00B3647B">
        <w:rPr>
          <w:b/>
          <w:bCs/>
        </w:rPr>
        <w:t xml:space="preserve">150 </w:t>
      </w:r>
      <w:r w:rsidRPr="00B3647B">
        <w:t xml:space="preserve">miljoni euro, ja vähemalt </w:t>
      </w:r>
      <w:r w:rsidRPr="00B3647B">
        <w:rPr>
          <w:b/>
          <w:bCs/>
        </w:rPr>
        <w:t xml:space="preserve">20 </w:t>
      </w:r>
      <w:r w:rsidRPr="00B3647B">
        <w:t>miljonit teeniti kõrge riskiga sektorites.</w:t>
      </w:r>
    </w:p>
    <w:p w14:paraId="068B4564" w14:textId="65E9FC51" w:rsidR="00DC44D5" w:rsidRPr="0061126C" w:rsidRDefault="00DC44D5" w:rsidP="00974A38">
      <w:pPr>
        <w:spacing w:before="120" w:after="0" w:line="240" w:lineRule="auto"/>
        <w:jc w:val="both"/>
        <w:rPr>
          <w:rFonts w:ascii="Arial" w:hAnsi="Arial" w:cs="Arial"/>
          <w:sz w:val="24"/>
          <w:szCs w:val="24"/>
          <w:lang w:val="et-EE"/>
        </w:rPr>
      </w:pPr>
      <w:r w:rsidRPr="0061126C">
        <w:rPr>
          <w:rFonts w:ascii="Arial" w:hAnsi="Arial" w:cs="Arial"/>
          <w:sz w:val="24"/>
          <w:szCs w:val="24"/>
          <w:lang w:val="et-EE"/>
        </w:rPr>
        <w:t>Euroopa Parlamendi mustandraportis on tehtud ettepanek vastavate künniste alandamiseks, et direktiiv kohalduks:</w:t>
      </w:r>
    </w:p>
    <w:p w14:paraId="27F1C5FA" w14:textId="48252345" w:rsidR="00DC44D5" w:rsidRPr="0061126C" w:rsidRDefault="00DC44D5" w:rsidP="00974A38">
      <w:pPr>
        <w:pStyle w:val="Default"/>
        <w:numPr>
          <w:ilvl w:val="0"/>
          <w:numId w:val="15"/>
        </w:numPr>
        <w:spacing w:after="31"/>
        <w:jc w:val="both"/>
      </w:pPr>
      <w:r w:rsidRPr="0061126C">
        <w:t xml:space="preserve">EL ettevõtetele, kellel on üle </w:t>
      </w:r>
      <w:r w:rsidRPr="0061126C">
        <w:rPr>
          <w:b/>
          <w:bCs/>
        </w:rPr>
        <w:t xml:space="preserve">250 </w:t>
      </w:r>
      <w:r w:rsidRPr="0061126C">
        <w:t xml:space="preserve">töötaja ning ülemaailmne netokäive üle </w:t>
      </w:r>
      <w:r w:rsidRPr="0061126C">
        <w:rPr>
          <w:b/>
          <w:bCs/>
        </w:rPr>
        <w:t xml:space="preserve">40 </w:t>
      </w:r>
      <w:r w:rsidRPr="0061126C">
        <w:t>miljoni euro (raporti lk 45, muudatusettepanek 51);</w:t>
      </w:r>
    </w:p>
    <w:p w14:paraId="66042030" w14:textId="77777777" w:rsidR="00426E58" w:rsidRDefault="00DC44D5" w:rsidP="00974A38">
      <w:pPr>
        <w:pStyle w:val="Default"/>
        <w:numPr>
          <w:ilvl w:val="0"/>
          <w:numId w:val="15"/>
        </w:numPr>
        <w:jc w:val="both"/>
      </w:pPr>
      <w:r w:rsidRPr="0061126C">
        <w:t xml:space="preserve">EL ettevõtetele, kellel on üle </w:t>
      </w:r>
      <w:r w:rsidRPr="0061126C">
        <w:rPr>
          <w:b/>
          <w:bCs/>
        </w:rPr>
        <w:t xml:space="preserve">50 </w:t>
      </w:r>
      <w:r w:rsidRPr="0061126C">
        <w:t xml:space="preserve">töötaja ning ülemaailmne netokäive üle </w:t>
      </w:r>
      <w:r w:rsidRPr="0061126C">
        <w:rPr>
          <w:b/>
          <w:bCs/>
        </w:rPr>
        <w:t xml:space="preserve">8 </w:t>
      </w:r>
      <w:r w:rsidRPr="0061126C">
        <w:t xml:space="preserve">miljoni, millest vähemalt </w:t>
      </w:r>
      <w:r w:rsidRPr="0061126C">
        <w:rPr>
          <w:b/>
          <w:bCs/>
        </w:rPr>
        <w:t xml:space="preserve">30% </w:t>
      </w:r>
      <w:r w:rsidRPr="0061126C">
        <w:t>teeniti kõrge riskiga sektoris (raporti lk 45-46,</w:t>
      </w:r>
      <w:r w:rsidR="0061126C" w:rsidRPr="0061126C">
        <w:t xml:space="preserve"> </w:t>
      </w:r>
      <w:r w:rsidR="00162533" w:rsidRPr="0061126C">
        <w:t>muudatusettepanek 52);</w:t>
      </w:r>
    </w:p>
    <w:p w14:paraId="4E567595" w14:textId="043E5309" w:rsidR="00162533" w:rsidRPr="0061126C" w:rsidRDefault="00162533" w:rsidP="00974A38">
      <w:pPr>
        <w:pStyle w:val="Default"/>
        <w:numPr>
          <w:ilvl w:val="0"/>
          <w:numId w:val="15"/>
        </w:numPr>
        <w:jc w:val="both"/>
      </w:pPr>
      <w:r w:rsidRPr="0061126C">
        <w:t xml:space="preserve">lisaks on tehtud ettepanek lisada siia loetellu ka EL ettevõte, kes ei vasta artiklis 2 lõikes 1 punktis a nimetatud 250 töötaja ja 40 miljoni euro käibe nõuetele, aga on </w:t>
      </w:r>
      <w:r w:rsidRPr="00ED6F6F">
        <w:rPr>
          <w:b/>
          <w:bCs/>
        </w:rPr>
        <w:t>börsil noteeritud</w:t>
      </w:r>
      <w:r w:rsidRPr="0061126C">
        <w:t xml:space="preserve"> ning tal on üle </w:t>
      </w:r>
      <w:r w:rsidRPr="00F72363">
        <w:rPr>
          <w:b/>
          <w:bCs/>
        </w:rPr>
        <w:t>50</w:t>
      </w:r>
      <w:r w:rsidRPr="0061126C">
        <w:t xml:space="preserve"> töötaja ning ülemaailmne netokäive üle </w:t>
      </w:r>
      <w:r w:rsidRPr="005C1D86">
        <w:rPr>
          <w:b/>
          <w:bCs/>
        </w:rPr>
        <w:t>8</w:t>
      </w:r>
      <w:r w:rsidRPr="0061126C">
        <w:t xml:space="preserve"> miljoni (raporti lk 48-49, muudatusettepanek 59);</w:t>
      </w:r>
    </w:p>
    <w:p w14:paraId="4A9BCD12" w14:textId="1EB795E6" w:rsidR="00DC44D5" w:rsidRPr="0061126C" w:rsidRDefault="00162533" w:rsidP="00974A38">
      <w:pPr>
        <w:pStyle w:val="Loendilik"/>
        <w:numPr>
          <w:ilvl w:val="0"/>
          <w:numId w:val="15"/>
        </w:numPr>
        <w:spacing w:after="0" w:line="240" w:lineRule="auto"/>
        <w:jc w:val="both"/>
        <w:rPr>
          <w:rFonts w:ascii="Arial" w:hAnsi="Arial" w:cs="Arial"/>
          <w:sz w:val="24"/>
          <w:szCs w:val="24"/>
          <w:lang w:val="et-EE"/>
        </w:rPr>
      </w:pPr>
      <w:r w:rsidRPr="0061126C">
        <w:rPr>
          <w:rFonts w:ascii="Arial" w:hAnsi="Arial" w:cs="Arial"/>
          <w:sz w:val="24"/>
          <w:szCs w:val="24"/>
          <w:lang w:val="et-EE"/>
        </w:rPr>
        <w:t xml:space="preserve">EL-välistele ettevõtetele, mis on asutatud kolmanda riigi seaduste alusel ja kelle netokäive EL-is on üle </w:t>
      </w:r>
      <w:r w:rsidRPr="00E006C7">
        <w:rPr>
          <w:rFonts w:ascii="Arial" w:hAnsi="Arial" w:cs="Arial"/>
          <w:b/>
          <w:bCs/>
          <w:sz w:val="24"/>
          <w:szCs w:val="24"/>
          <w:lang w:val="et-EE"/>
        </w:rPr>
        <w:t>40</w:t>
      </w:r>
      <w:r w:rsidRPr="0061126C">
        <w:rPr>
          <w:rFonts w:ascii="Arial" w:hAnsi="Arial" w:cs="Arial"/>
          <w:sz w:val="24"/>
          <w:szCs w:val="24"/>
          <w:lang w:val="et-EE"/>
        </w:rPr>
        <w:t xml:space="preserve"> miljoni euro (raporti lk 49, muudatusettepanek 60) </w:t>
      </w:r>
      <w:r w:rsidRPr="00E006C7">
        <w:rPr>
          <w:rFonts w:ascii="Arial" w:hAnsi="Arial" w:cs="Arial"/>
          <w:b/>
          <w:bCs/>
          <w:sz w:val="24"/>
          <w:szCs w:val="24"/>
          <w:lang w:val="et-EE"/>
        </w:rPr>
        <w:t>või</w:t>
      </w:r>
      <w:r w:rsidRPr="0061126C">
        <w:rPr>
          <w:rFonts w:ascii="Arial" w:hAnsi="Arial" w:cs="Arial"/>
          <w:sz w:val="24"/>
          <w:szCs w:val="24"/>
          <w:lang w:val="et-EE"/>
        </w:rPr>
        <w:t xml:space="preserve"> kelle netokäive on EL-is üle </w:t>
      </w:r>
      <w:r w:rsidRPr="00E006C7">
        <w:rPr>
          <w:rFonts w:ascii="Arial" w:hAnsi="Arial" w:cs="Arial"/>
          <w:b/>
          <w:bCs/>
          <w:sz w:val="24"/>
          <w:szCs w:val="24"/>
          <w:lang w:val="et-EE"/>
        </w:rPr>
        <w:t>8</w:t>
      </w:r>
      <w:r w:rsidRPr="0061126C">
        <w:rPr>
          <w:rFonts w:ascii="Arial" w:hAnsi="Arial" w:cs="Arial"/>
          <w:sz w:val="24"/>
          <w:szCs w:val="24"/>
          <w:lang w:val="et-EE"/>
        </w:rPr>
        <w:t xml:space="preserve"> miljoni, kuid mitte üle </w:t>
      </w:r>
      <w:r w:rsidRPr="00E006C7">
        <w:rPr>
          <w:rFonts w:ascii="Arial" w:hAnsi="Arial" w:cs="Arial"/>
          <w:b/>
          <w:bCs/>
          <w:sz w:val="24"/>
          <w:szCs w:val="24"/>
          <w:lang w:val="et-EE"/>
        </w:rPr>
        <w:t>40</w:t>
      </w:r>
      <w:r w:rsidRPr="0061126C">
        <w:rPr>
          <w:rFonts w:ascii="Arial" w:hAnsi="Arial" w:cs="Arial"/>
          <w:sz w:val="24"/>
          <w:szCs w:val="24"/>
          <w:lang w:val="et-EE"/>
        </w:rPr>
        <w:t xml:space="preserve"> miljoni euro, ja vähemalt </w:t>
      </w:r>
      <w:r w:rsidRPr="00E006C7">
        <w:rPr>
          <w:rFonts w:ascii="Arial" w:hAnsi="Arial" w:cs="Arial"/>
          <w:b/>
          <w:bCs/>
          <w:sz w:val="24"/>
          <w:szCs w:val="24"/>
          <w:lang w:val="et-EE"/>
        </w:rPr>
        <w:t>30%</w:t>
      </w:r>
      <w:r w:rsidRPr="0061126C">
        <w:rPr>
          <w:rFonts w:ascii="Arial" w:hAnsi="Arial" w:cs="Arial"/>
          <w:sz w:val="24"/>
          <w:szCs w:val="24"/>
          <w:lang w:val="et-EE"/>
        </w:rPr>
        <w:t xml:space="preserve"> sellest teeniti kõrge riskiga sektorites (raporti lk 50, muudatusettepanek 61).</w:t>
      </w:r>
    </w:p>
    <w:p w14:paraId="7A103A08" w14:textId="77777777" w:rsidR="00F170E3" w:rsidRDefault="00F170E3" w:rsidP="00974A38">
      <w:pPr>
        <w:spacing w:after="0" w:line="240" w:lineRule="auto"/>
        <w:jc w:val="both"/>
        <w:rPr>
          <w:rFonts w:ascii="Arial" w:hAnsi="Arial" w:cs="Arial"/>
          <w:sz w:val="24"/>
          <w:szCs w:val="24"/>
          <w:lang w:val="et-EE"/>
        </w:rPr>
      </w:pPr>
    </w:p>
    <w:p w14:paraId="04637EF9" w14:textId="21A1A2B0" w:rsidR="00DB2F5E" w:rsidRDefault="00E65161" w:rsidP="00974A38">
      <w:pPr>
        <w:spacing w:after="0" w:line="240" w:lineRule="auto"/>
        <w:jc w:val="both"/>
        <w:rPr>
          <w:rFonts w:ascii="Arial" w:hAnsi="Arial" w:cs="Arial"/>
          <w:sz w:val="24"/>
          <w:szCs w:val="24"/>
          <w:lang w:val="et-EE"/>
        </w:rPr>
      </w:pPr>
      <w:r>
        <w:rPr>
          <w:rFonts w:ascii="Arial" w:hAnsi="Arial" w:cs="Arial"/>
          <w:sz w:val="24"/>
          <w:szCs w:val="24"/>
          <w:lang w:val="et-EE"/>
        </w:rPr>
        <w:t>Kaubanduskoda</w:t>
      </w:r>
      <w:r w:rsidR="00DB2F5E">
        <w:rPr>
          <w:rFonts w:ascii="Arial" w:hAnsi="Arial" w:cs="Arial"/>
          <w:sz w:val="24"/>
          <w:szCs w:val="24"/>
          <w:lang w:val="et-EE"/>
        </w:rPr>
        <w:t xml:space="preserve"> on tugevalt vastu Euroopa Parlamendi muudatusettepanekutele </w:t>
      </w:r>
      <w:bookmarkStart w:id="0" w:name="_Hlk132705050"/>
      <w:r w:rsidR="00DB2F5E">
        <w:rPr>
          <w:rFonts w:ascii="Arial" w:hAnsi="Arial" w:cs="Arial"/>
          <w:sz w:val="24"/>
          <w:szCs w:val="24"/>
          <w:lang w:val="et-EE"/>
        </w:rPr>
        <w:t>direktiivi kohaldamisala künniste vähendamiseks</w:t>
      </w:r>
      <w:bookmarkEnd w:id="0"/>
      <w:r w:rsidR="00DB2F5E">
        <w:rPr>
          <w:rFonts w:ascii="Arial" w:hAnsi="Arial" w:cs="Arial"/>
          <w:sz w:val="24"/>
          <w:szCs w:val="24"/>
          <w:lang w:val="et-EE"/>
        </w:rPr>
        <w:t xml:space="preserve"> järgmistel põhjustel:</w:t>
      </w:r>
    </w:p>
    <w:p w14:paraId="25AAAE4D" w14:textId="28E7D866" w:rsidR="00B573B5" w:rsidRDefault="00A45427" w:rsidP="00C51EFB">
      <w:pPr>
        <w:pStyle w:val="Loendilik"/>
        <w:numPr>
          <w:ilvl w:val="0"/>
          <w:numId w:val="18"/>
        </w:numPr>
        <w:spacing w:before="120" w:after="0" w:line="240" w:lineRule="auto"/>
        <w:contextualSpacing w:val="0"/>
        <w:jc w:val="both"/>
        <w:rPr>
          <w:rFonts w:ascii="Arial" w:hAnsi="Arial" w:cs="Arial"/>
          <w:sz w:val="24"/>
          <w:szCs w:val="24"/>
          <w:lang w:val="et-EE"/>
        </w:rPr>
      </w:pPr>
      <w:r w:rsidRPr="00AE60F3">
        <w:rPr>
          <w:rFonts w:ascii="Arial" w:hAnsi="Arial" w:cs="Arial"/>
          <w:sz w:val="24"/>
          <w:szCs w:val="24"/>
          <w:lang w:val="et-EE"/>
        </w:rPr>
        <w:t>Euroopa Parlamendi muudatusettepanekud suurendavad olulisel määral ettevõtete arvu, kes kuuluvad direktiivi kohaldamisalasse. Selle tulemusena lisandub paljudele ettevõtetele täiendav aja- ja rahakulu ning suuren</w:t>
      </w:r>
      <w:r w:rsidR="00953FC3" w:rsidRPr="00AE60F3">
        <w:rPr>
          <w:rFonts w:ascii="Arial" w:hAnsi="Arial" w:cs="Arial"/>
          <w:sz w:val="24"/>
          <w:szCs w:val="24"/>
          <w:lang w:val="et-EE"/>
        </w:rPr>
        <w:t xml:space="preserve">eb </w:t>
      </w:r>
      <w:r w:rsidRPr="00AE60F3">
        <w:rPr>
          <w:rFonts w:ascii="Arial" w:hAnsi="Arial" w:cs="Arial"/>
          <w:sz w:val="24"/>
          <w:szCs w:val="24"/>
          <w:lang w:val="et-EE"/>
        </w:rPr>
        <w:t>ka liikmesriikide järelevalveasutuste koormus.</w:t>
      </w:r>
    </w:p>
    <w:p w14:paraId="27242E1A" w14:textId="5DFBF0B4" w:rsidR="00FD6D3A" w:rsidRPr="00B11064" w:rsidRDefault="00FD6D3A" w:rsidP="00C51EFB">
      <w:pPr>
        <w:pStyle w:val="Loendilik"/>
        <w:numPr>
          <w:ilvl w:val="0"/>
          <w:numId w:val="18"/>
        </w:numPr>
        <w:spacing w:before="120" w:after="0" w:line="240" w:lineRule="auto"/>
        <w:contextualSpacing w:val="0"/>
        <w:jc w:val="both"/>
        <w:rPr>
          <w:rFonts w:ascii="Arial" w:hAnsi="Arial" w:cs="Arial"/>
          <w:sz w:val="24"/>
          <w:szCs w:val="24"/>
          <w:lang w:val="et-EE"/>
        </w:rPr>
      </w:pPr>
      <w:r w:rsidRPr="00B11064">
        <w:rPr>
          <w:rFonts w:ascii="Arial" w:hAnsi="Arial" w:cs="Arial"/>
          <w:sz w:val="24"/>
          <w:szCs w:val="24"/>
          <w:lang w:val="et-EE"/>
        </w:rPr>
        <w:t>Kuna Euroopa Parlamendi muudatusettepanekute tulemusena suureneb ettevõtete arv, kes peavad hakkama uusi hoolsuskohustusi täitma, siis sellega seoses suureneb ilmselt ka väiksemate ettevõtete arv, kes ei hakka kuuluma direktiivi kohaldamisalasse, kuid kellelt hakkavad täiendavate hoolsuskohustuste täitmist nõudma direktiivi kohaldamisalasse jäävad ettevõtted</w:t>
      </w:r>
      <w:r w:rsidR="00241A11">
        <w:rPr>
          <w:rFonts w:ascii="Arial" w:hAnsi="Arial" w:cs="Arial"/>
          <w:sz w:val="24"/>
          <w:szCs w:val="24"/>
          <w:lang w:val="et-EE"/>
        </w:rPr>
        <w:t xml:space="preserve">, sest väiksemad ettevõtted kuuluvad nendega samasse </w:t>
      </w:r>
      <w:r w:rsidR="00E42A23">
        <w:rPr>
          <w:rFonts w:ascii="Arial" w:hAnsi="Arial" w:cs="Arial"/>
          <w:sz w:val="24"/>
          <w:szCs w:val="24"/>
          <w:lang w:val="et-EE"/>
        </w:rPr>
        <w:t>tegevusahelasse.</w:t>
      </w:r>
    </w:p>
    <w:p w14:paraId="6BCBED7E" w14:textId="4C3BD9AE" w:rsidR="0055109F" w:rsidRPr="00B11064" w:rsidRDefault="0055109F" w:rsidP="00C51EFB">
      <w:pPr>
        <w:pStyle w:val="Loendilik"/>
        <w:numPr>
          <w:ilvl w:val="0"/>
          <w:numId w:val="18"/>
        </w:numPr>
        <w:spacing w:before="120" w:after="0" w:line="240" w:lineRule="auto"/>
        <w:contextualSpacing w:val="0"/>
        <w:jc w:val="both"/>
        <w:rPr>
          <w:rFonts w:ascii="Arial" w:hAnsi="Arial" w:cs="Arial"/>
          <w:sz w:val="24"/>
          <w:szCs w:val="24"/>
          <w:lang w:val="et-EE"/>
        </w:rPr>
      </w:pPr>
      <w:r w:rsidRPr="00B11064">
        <w:rPr>
          <w:rFonts w:ascii="Arial" w:hAnsi="Arial" w:cs="Arial"/>
          <w:sz w:val="24"/>
          <w:szCs w:val="24"/>
          <w:lang w:val="et-EE"/>
        </w:rPr>
        <w:t>Meie hinnangul on Euroopa Parlamendi muudatusettepanekud vastuolus Euroopa Liidu eesmärgiga vähendada ettevõtete</w:t>
      </w:r>
      <w:r w:rsidR="00AA1D4D">
        <w:rPr>
          <w:rFonts w:ascii="Arial" w:hAnsi="Arial" w:cs="Arial"/>
          <w:sz w:val="24"/>
          <w:szCs w:val="24"/>
          <w:lang w:val="et-EE"/>
        </w:rPr>
        <w:t xml:space="preserve">, eelkõige </w:t>
      </w:r>
      <w:r w:rsidR="00AA1D4D" w:rsidRPr="00B11064">
        <w:rPr>
          <w:rFonts w:ascii="Arial" w:hAnsi="Arial" w:cs="Arial"/>
          <w:sz w:val="24"/>
          <w:szCs w:val="24"/>
          <w:lang w:val="et-EE"/>
        </w:rPr>
        <w:t>väikeste ja keskmise suurusega ettevõt</w:t>
      </w:r>
      <w:r w:rsidR="00AA1D4D">
        <w:rPr>
          <w:rFonts w:ascii="Arial" w:hAnsi="Arial" w:cs="Arial"/>
          <w:sz w:val="24"/>
          <w:szCs w:val="24"/>
          <w:lang w:val="et-EE"/>
        </w:rPr>
        <w:t xml:space="preserve">ete </w:t>
      </w:r>
      <w:r w:rsidRPr="00B11064">
        <w:rPr>
          <w:rFonts w:ascii="Arial" w:hAnsi="Arial" w:cs="Arial"/>
          <w:sz w:val="24"/>
          <w:szCs w:val="24"/>
          <w:lang w:val="et-EE"/>
        </w:rPr>
        <w:t>regulatiivset koormust</w:t>
      </w:r>
      <w:r w:rsidR="00FC072C">
        <w:rPr>
          <w:rFonts w:ascii="Arial" w:hAnsi="Arial" w:cs="Arial"/>
          <w:sz w:val="24"/>
          <w:szCs w:val="24"/>
          <w:lang w:val="et-EE"/>
        </w:rPr>
        <w:t xml:space="preserve">. </w:t>
      </w:r>
      <w:r w:rsidRPr="00B11064">
        <w:rPr>
          <w:rFonts w:ascii="Arial" w:hAnsi="Arial" w:cs="Arial"/>
          <w:sz w:val="24"/>
          <w:szCs w:val="24"/>
          <w:lang w:val="et-EE"/>
        </w:rPr>
        <w:t>Seega ei aita need muudatused kaasa VKE-de jaoks olulise põhimõtte</w:t>
      </w:r>
      <w:r w:rsidR="00B11064" w:rsidRPr="00B11064">
        <w:rPr>
          <w:rFonts w:ascii="Arial" w:hAnsi="Arial" w:cs="Arial"/>
          <w:sz w:val="24"/>
          <w:szCs w:val="24"/>
          <w:lang w:val="et-EE"/>
        </w:rPr>
        <w:t xml:space="preserve"> </w:t>
      </w:r>
      <w:r w:rsidRPr="00B11064">
        <w:rPr>
          <w:rFonts w:ascii="Arial" w:hAnsi="Arial" w:cs="Arial"/>
          <w:sz w:val="24"/>
          <w:szCs w:val="24"/>
          <w:lang w:val="et-EE"/>
        </w:rPr>
        <w:t>„kõigepealt mõtle väikestele”</w:t>
      </w:r>
      <w:r w:rsidR="00995CED" w:rsidRPr="00B11064">
        <w:rPr>
          <w:rFonts w:ascii="Arial" w:hAnsi="Arial" w:cs="Arial"/>
          <w:sz w:val="24"/>
          <w:szCs w:val="24"/>
          <w:lang w:val="et-EE"/>
        </w:rPr>
        <w:t xml:space="preserve"> rakendamisele</w:t>
      </w:r>
      <w:r w:rsidRPr="00B11064">
        <w:rPr>
          <w:rFonts w:ascii="Arial" w:hAnsi="Arial" w:cs="Arial"/>
          <w:sz w:val="24"/>
          <w:szCs w:val="24"/>
          <w:lang w:val="et-EE"/>
        </w:rPr>
        <w:t>.</w:t>
      </w:r>
    </w:p>
    <w:p w14:paraId="0704922E" w14:textId="3DBE98FC" w:rsidR="00AE60F3" w:rsidRPr="00AE60F3" w:rsidRDefault="00EA09AF" w:rsidP="00C51EFB">
      <w:pPr>
        <w:pStyle w:val="Loendilik"/>
        <w:numPr>
          <w:ilvl w:val="0"/>
          <w:numId w:val="18"/>
        </w:numPr>
        <w:spacing w:before="120" w:after="0" w:line="240" w:lineRule="auto"/>
        <w:contextualSpacing w:val="0"/>
        <w:jc w:val="both"/>
        <w:rPr>
          <w:rFonts w:ascii="Arial" w:hAnsi="Arial" w:cs="Arial"/>
          <w:sz w:val="24"/>
          <w:szCs w:val="24"/>
          <w:lang w:val="et-EE"/>
        </w:rPr>
      </w:pPr>
      <w:r>
        <w:rPr>
          <w:rFonts w:ascii="Arial" w:hAnsi="Arial" w:cs="Arial"/>
          <w:sz w:val="24"/>
          <w:szCs w:val="24"/>
          <w:lang w:val="et-EE"/>
        </w:rPr>
        <w:t>Eeltoodud põhjustel o</w:t>
      </w:r>
      <w:r w:rsidR="00E75E61" w:rsidRPr="00AE60F3">
        <w:rPr>
          <w:rFonts w:ascii="Arial" w:hAnsi="Arial" w:cs="Arial"/>
          <w:sz w:val="24"/>
          <w:szCs w:val="24"/>
          <w:lang w:val="et-EE"/>
        </w:rPr>
        <w:t xml:space="preserve">n küsitav, kas direktiivi kohaldamine nii paljudele ettevõtetele on proportsionaalne. </w:t>
      </w:r>
      <w:r w:rsidR="00E90467">
        <w:rPr>
          <w:rFonts w:ascii="Arial" w:hAnsi="Arial" w:cs="Arial"/>
          <w:sz w:val="24"/>
          <w:szCs w:val="24"/>
          <w:lang w:val="et-EE"/>
        </w:rPr>
        <w:t>K</w:t>
      </w:r>
      <w:r w:rsidR="00284F07">
        <w:rPr>
          <w:rFonts w:ascii="Arial" w:hAnsi="Arial" w:cs="Arial"/>
          <w:sz w:val="24"/>
          <w:szCs w:val="24"/>
          <w:lang w:val="et-EE"/>
        </w:rPr>
        <w:t xml:space="preserve">üsitavust </w:t>
      </w:r>
      <w:r w:rsidR="00DF7644">
        <w:rPr>
          <w:rFonts w:ascii="Arial" w:hAnsi="Arial" w:cs="Arial"/>
          <w:sz w:val="24"/>
          <w:szCs w:val="24"/>
          <w:lang w:val="et-EE"/>
        </w:rPr>
        <w:t xml:space="preserve">suurendab asjaolu, et </w:t>
      </w:r>
      <w:r w:rsidR="00AE60F3" w:rsidRPr="00AE60F3">
        <w:rPr>
          <w:rFonts w:ascii="Arial" w:hAnsi="Arial" w:cs="Arial"/>
          <w:sz w:val="24"/>
          <w:szCs w:val="24"/>
          <w:lang w:val="et-EE"/>
        </w:rPr>
        <w:t>direktiivi sõnastus on kohati väga üldine ning ettevõtetel ei ole hoolsuskohustuse sisu üheselt selge ehk pole teada, mida ettevõte peab täpselt tegema, et tema tegevus oleks direktiiviga kooskõlas.</w:t>
      </w:r>
      <w:r w:rsidR="00DF7644">
        <w:rPr>
          <w:rFonts w:ascii="Arial" w:hAnsi="Arial" w:cs="Arial"/>
          <w:sz w:val="24"/>
          <w:szCs w:val="24"/>
          <w:lang w:val="et-EE"/>
        </w:rPr>
        <w:t xml:space="preserve"> Sellises olukorras ei ole mõistlik direktiivi kohalda</w:t>
      </w:r>
      <w:r w:rsidR="00317F9D">
        <w:rPr>
          <w:rFonts w:ascii="Arial" w:hAnsi="Arial" w:cs="Arial"/>
          <w:sz w:val="24"/>
          <w:szCs w:val="24"/>
          <w:lang w:val="et-EE"/>
        </w:rPr>
        <w:t>misala laiendada, pigem tule</w:t>
      </w:r>
      <w:r w:rsidR="0044025D">
        <w:rPr>
          <w:rFonts w:ascii="Arial" w:hAnsi="Arial" w:cs="Arial"/>
          <w:sz w:val="24"/>
          <w:szCs w:val="24"/>
          <w:lang w:val="et-EE"/>
        </w:rPr>
        <w:t>b</w:t>
      </w:r>
      <w:r w:rsidR="00317F9D">
        <w:rPr>
          <w:rFonts w:ascii="Arial" w:hAnsi="Arial" w:cs="Arial"/>
          <w:sz w:val="24"/>
          <w:szCs w:val="24"/>
          <w:lang w:val="et-EE"/>
        </w:rPr>
        <w:t xml:space="preserve"> seda kitsendada.</w:t>
      </w:r>
    </w:p>
    <w:p w14:paraId="485799D6" w14:textId="51BF7E17" w:rsidR="00417C0F" w:rsidRPr="002078F0" w:rsidRDefault="00686BAB" w:rsidP="00C51EFB">
      <w:pPr>
        <w:pStyle w:val="Loendilik"/>
        <w:numPr>
          <w:ilvl w:val="0"/>
          <w:numId w:val="18"/>
        </w:numPr>
        <w:spacing w:before="120" w:after="0" w:line="240" w:lineRule="auto"/>
        <w:contextualSpacing w:val="0"/>
        <w:jc w:val="both"/>
        <w:rPr>
          <w:rFonts w:ascii="Arial" w:hAnsi="Arial" w:cs="Arial"/>
          <w:sz w:val="24"/>
          <w:szCs w:val="24"/>
          <w:lang w:val="et-EE"/>
        </w:rPr>
      </w:pPr>
      <w:r w:rsidRPr="002078F0">
        <w:rPr>
          <w:rFonts w:ascii="Arial" w:hAnsi="Arial" w:cs="Arial"/>
          <w:sz w:val="24"/>
          <w:szCs w:val="24"/>
          <w:lang w:val="et-EE"/>
        </w:rPr>
        <w:t xml:space="preserve">Kuna direktiivi näol on tegemist </w:t>
      </w:r>
      <w:r w:rsidR="00AF338F" w:rsidRPr="002078F0">
        <w:rPr>
          <w:rFonts w:ascii="Arial" w:hAnsi="Arial" w:cs="Arial"/>
          <w:sz w:val="24"/>
          <w:szCs w:val="24"/>
          <w:lang w:val="et-EE"/>
        </w:rPr>
        <w:t xml:space="preserve">ettevõtete jaoks </w:t>
      </w:r>
      <w:r w:rsidRPr="002078F0">
        <w:rPr>
          <w:rFonts w:ascii="Arial" w:hAnsi="Arial" w:cs="Arial"/>
          <w:sz w:val="24"/>
          <w:szCs w:val="24"/>
          <w:lang w:val="et-EE"/>
        </w:rPr>
        <w:t>uute kohustustega, siis on mõistlik lahendus see, et esialgu kohaldu</w:t>
      </w:r>
      <w:r w:rsidR="00AF338F" w:rsidRPr="002078F0">
        <w:rPr>
          <w:rFonts w:ascii="Arial" w:hAnsi="Arial" w:cs="Arial"/>
          <w:sz w:val="24"/>
          <w:szCs w:val="24"/>
          <w:lang w:val="et-EE"/>
        </w:rPr>
        <w:t xml:space="preserve">vad </w:t>
      </w:r>
      <w:r w:rsidRPr="002078F0">
        <w:rPr>
          <w:rFonts w:ascii="Arial" w:hAnsi="Arial" w:cs="Arial"/>
          <w:sz w:val="24"/>
          <w:szCs w:val="24"/>
          <w:lang w:val="et-EE"/>
        </w:rPr>
        <w:t xml:space="preserve">uued nõuded vaid suurtele ettevõtetele, kes suudavad </w:t>
      </w:r>
      <w:r w:rsidR="00F83AE8" w:rsidRPr="002078F0">
        <w:rPr>
          <w:rFonts w:ascii="Arial" w:hAnsi="Arial" w:cs="Arial"/>
          <w:sz w:val="24"/>
          <w:szCs w:val="24"/>
          <w:lang w:val="et-EE"/>
        </w:rPr>
        <w:t xml:space="preserve">muudatustega üldreeglina </w:t>
      </w:r>
      <w:r w:rsidR="00EF7853" w:rsidRPr="002078F0">
        <w:rPr>
          <w:rFonts w:ascii="Arial" w:hAnsi="Arial" w:cs="Arial"/>
          <w:sz w:val="24"/>
          <w:szCs w:val="24"/>
          <w:lang w:val="et-EE"/>
        </w:rPr>
        <w:t>paremini kohaneda</w:t>
      </w:r>
      <w:r w:rsidR="005D2BA0" w:rsidRPr="002078F0">
        <w:rPr>
          <w:rFonts w:ascii="Arial" w:hAnsi="Arial" w:cs="Arial"/>
          <w:sz w:val="24"/>
          <w:szCs w:val="24"/>
          <w:lang w:val="et-EE"/>
        </w:rPr>
        <w:t xml:space="preserve"> kui </w:t>
      </w:r>
      <w:r w:rsidR="005D2BA0" w:rsidRPr="002078F0">
        <w:rPr>
          <w:rFonts w:ascii="Arial" w:hAnsi="Arial" w:cs="Arial"/>
          <w:sz w:val="24"/>
          <w:szCs w:val="24"/>
          <w:lang w:val="et-EE"/>
        </w:rPr>
        <w:lastRenderedPageBreak/>
        <w:t>väiksemad ettevõtted</w:t>
      </w:r>
      <w:r w:rsidR="00EF7853" w:rsidRPr="002078F0">
        <w:rPr>
          <w:rFonts w:ascii="Arial" w:hAnsi="Arial" w:cs="Arial"/>
          <w:sz w:val="24"/>
          <w:szCs w:val="24"/>
          <w:lang w:val="et-EE"/>
        </w:rPr>
        <w:t>. Selline lahendus võimaldab ka liikmesriikide järelevalveasutustel muudatustega paremini koha</w:t>
      </w:r>
      <w:r w:rsidR="0093311A" w:rsidRPr="002078F0">
        <w:rPr>
          <w:rFonts w:ascii="Arial" w:hAnsi="Arial" w:cs="Arial"/>
          <w:sz w:val="24"/>
          <w:szCs w:val="24"/>
          <w:lang w:val="et-EE"/>
        </w:rPr>
        <w:t xml:space="preserve">neda. </w:t>
      </w:r>
      <w:r w:rsidR="009D3596">
        <w:rPr>
          <w:rFonts w:ascii="Arial" w:hAnsi="Arial" w:cs="Arial"/>
          <w:sz w:val="24"/>
          <w:szCs w:val="24"/>
          <w:lang w:val="et-EE"/>
        </w:rPr>
        <w:t>K</w:t>
      </w:r>
      <w:r w:rsidR="00EF7853" w:rsidRPr="002078F0">
        <w:rPr>
          <w:rFonts w:ascii="Arial" w:hAnsi="Arial" w:cs="Arial"/>
          <w:sz w:val="24"/>
          <w:szCs w:val="24"/>
          <w:lang w:val="et-EE"/>
        </w:rPr>
        <w:t xml:space="preserve">ui </w:t>
      </w:r>
      <w:r w:rsidR="00770EE1" w:rsidRPr="002078F0">
        <w:rPr>
          <w:rFonts w:ascii="Arial" w:hAnsi="Arial" w:cs="Arial"/>
          <w:sz w:val="24"/>
          <w:szCs w:val="24"/>
          <w:lang w:val="et-EE"/>
        </w:rPr>
        <w:t xml:space="preserve">suurte ettevõtete kogemus näitab, et direktiiv täidab oma eesmärki ja sellega kaasnev koormus ja kulud ei ole ebaproportsionaalsed </w:t>
      </w:r>
      <w:r w:rsidR="00417C0F" w:rsidRPr="002078F0">
        <w:rPr>
          <w:rFonts w:ascii="Arial" w:hAnsi="Arial" w:cs="Arial"/>
          <w:sz w:val="24"/>
          <w:szCs w:val="24"/>
          <w:lang w:val="et-EE"/>
        </w:rPr>
        <w:t xml:space="preserve">võrreldes </w:t>
      </w:r>
      <w:r w:rsidR="00770EE1" w:rsidRPr="002078F0">
        <w:rPr>
          <w:rFonts w:ascii="Arial" w:hAnsi="Arial" w:cs="Arial"/>
          <w:sz w:val="24"/>
          <w:szCs w:val="24"/>
          <w:lang w:val="et-EE"/>
        </w:rPr>
        <w:t xml:space="preserve">saadava kasuga, siis võib hiljem kaaluda </w:t>
      </w:r>
      <w:r w:rsidR="00D870EB" w:rsidRPr="002078F0">
        <w:rPr>
          <w:rFonts w:ascii="Arial" w:hAnsi="Arial" w:cs="Arial"/>
          <w:sz w:val="24"/>
          <w:szCs w:val="24"/>
          <w:lang w:val="et-EE"/>
        </w:rPr>
        <w:t xml:space="preserve">künniste alandamist, et see kohalduks rohkematele ettevõtetele. Samas koheselt ei ole mõistlik </w:t>
      </w:r>
      <w:r w:rsidR="009356C1" w:rsidRPr="002078F0">
        <w:rPr>
          <w:rFonts w:ascii="Arial" w:hAnsi="Arial" w:cs="Arial"/>
          <w:sz w:val="24"/>
          <w:szCs w:val="24"/>
          <w:lang w:val="et-EE"/>
        </w:rPr>
        <w:t xml:space="preserve">teha liiga laia direktiivi kohaldamisala ja seda just olukorras, kus direktiivi sõnastus on väga üldine ning ettevõtetel </w:t>
      </w:r>
      <w:r w:rsidR="00975BB2" w:rsidRPr="002078F0">
        <w:rPr>
          <w:rFonts w:ascii="Arial" w:hAnsi="Arial" w:cs="Arial"/>
          <w:sz w:val="24"/>
          <w:szCs w:val="24"/>
          <w:lang w:val="et-EE"/>
        </w:rPr>
        <w:t xml:space="preserve">ei ole </w:t>
      </w:r>
      <w:r w:rsidR="00417C0F" w:rsidRPr="002078F0">
        <w:rPr>
          <w:rFonts w:ascii="Arial" w:hAnsi="Arial" w:cs="Arial"/>
          <w:sz w:val="24"/>
          <w:szCs w:val="24"/>
          <w:lang w:val="et-EE"/>
        </w:rPr>
        <w:t xml:space="preserve">hoolsuskohustuse </w:t>
      </w:r>
      <w:r w:rsidR="00975BB2" w:rsidRPr="002078F0">
        <w:rPr>
          <w:rFonts w:ascii="Arial" w:hAnsi="Arial" w:cs="Arial"/>
          <w:sz w:val="24"/>
          <w:szCs w:val="24"/>
          <w:lang w:val="et-EE"/>
        </w:rPr>
        <w:t>sisu üheselt selge</w:t>
      </w:r>
      <w:r w:rsidR="00D44F66">
        <w:rPr>
          <w:rFonts w:ascii="Arial" w:hAnsi="Arial" w:cs="Arial"/>
          <w:sz w:val="24"/>
          <w:szCs w:val="24"/>
          <w:lang w:val="et-EE"/>
        </w:rPr>
        <w:t>.</w:t>
      </w:r>
    </w:p>
    <w:p w14:paraId="45718188" w14:textId="394F8A8A" w:rsidR="00417C0F" w:rsidRDefault="00CF360B" w:rsidP="00C51EFB">
      <w:pPr>
        <w:pStyle w:val="Loendilik"/>
        <w:numPr>
          <w:ilvl w:val="0"/>
          <w:numId w:val="18"/>
        </w:numPr>
        <w:spacing w:before="120" w:after="0" w:line="240" w:lineRule="auto"/>
        <w:contextualSpacing w:val="0"/>
        <w:jc w:val="both"/>
        <w:rPr>
          <w:rFonts w:ascii="Arial" w:hAnsi="Arial" w:cs="Arial"/>
          <w:sz w:val="24"/>
          <w:szCs w:val="24"/>
          <w:lang w:val="et-EE"/>
        </w:rPr>
      </w:pPr>
      <w:r>
        <w:rPr>
          <w:rFonts w:ascii="Arial" w:hAnsi="Arial" w:cs="Arial"/>
          <w:sz w:val="24"/>
          <w:szCs w:val="24"/>
          <w:lang w:val="et-EE"/>
        </w:rPr>
        <w:t xml:space="preserve">Direktiivi </w:t>
      </w:r>
      <w:r w:rsidR="00C05EC7">
        <w:rPr>
          <w:rFonts w:ascii="Arial" w:hAnsi="Arial" w:cs="Arial"/>
          <w:sz w:val="24"/>
          <w:szCs w:val="24"/>
          <w:lang w:val="et-EE"/>
        </w:rPr>
        <w:t>kohaldamisala näeb ette miinimumnõuded</w:t>
      </w:r>
      <w:r w:rsidR="00D44F66">
        <w:rPr>
          <w:rFonts w:ascii="Arial" w:hAnsi="Arial" w:cs="Arial"/>
          <w:sz w:val="24"/>
          <w:szCs w:val="24"/>
          <w:lang w:val="et-EE"/>
        </w:rPr>
        <w:t xml:space="preserve">, kuid </w:t>
      </w:r>
      <w:r w:rsidR="006B052E">
        <w:rPr>
          <w:rFonts w:ascii="Arial" w:hAnsi="Arial" w:cs="Arial"/>
          <w:sz w:val="24"/>
          <w:szCs w:val="24"/>
          <w:lang w:val="et-EE"/>
        </w:rPr>
        <w:t>ettevõtetel on võimalik ka vabatahtlikult täita direktiivist tulenevaid kohustusi, kui nad näevad, et tegemist on</w:t>
      </w:r>
      <w:r w:rsidR="00052E36">
        <w:rPr>
          <w:rFonts w:ascii="Arial" w:hAnsi="Arial" w:cs="Arial"/>
          <w:sz w:val="24"/>
          <w:szCs w:val="24"/>
          <w:lang w:val="et-EE"/>
        </w:rPr>
        <w:t xml:space="preserve"> positiivse algatusega. Seega ei peaks EL </w:t>
      </w:r>
      <w:r w:rsidR="00A04271">
        <w:rPr>
          <w:rFonts w:ascii="Arial" w:hAnsi="Arial" w:cs="Arial"/>
          <w:sz w:val="24"/>
          <w:szCs w:val="24"/>
          <w:lang w:val="et-EE"/>
        </w:rPr>
        <w:t xml:space="preserve">esimese sammuna kehtestama </w:t>
      </w:r>
      <w:r w:rsidR="00052E36">
        <w:rPr>
          <w:rFonts w:ascii="Arial" w:hAnsi="Arial" w:cs="Arial"/>
          <w:sz w:val="24"/>
          <w:szCs w:val="24"/>
          <w:lang w:val="et-EE"/>
        </w:rPr>
        <w:t xml:space="preserve">kohustuslikus korras </w:t>
      </w:r>
      <w:r w:rsidR="00A04271">
        <w:rPr>
          <w:rFonts w:ascii="Arial" w:hAnsi="Arial" w:cs="Arial"/>
          <w:sz w:val="24"/>
          <w:szCs w:val="24"/>
          <w:lang w:val="et-EE"/>
        </w:rPr>
        <w:t>laiale sihtrühmale</w:t>
      </w:r>
      <w:r w:rsidR="00052E36">
        <w:rPr>
          <w:rFonts w:ascii="Arial" w:hAnsi="Arial" w:cs="Arial"/>
          <w:sz w:val="24"/>
          <w:szCs w:val="24"/>
          <w:lang w:val="et-EE"/>
        </w:rPr>
        <w:t xml:space="preserve"> uusi kohustusi, vaid </w:t>
      </w:r>
      <w:r w:rsidR="0003000A">
        <w:rPr>
          <w:rFonts w:ascii="Arial" w:hAnsi="Arial" w:cs="Arial"/>
          <w:sz w:val="24"/>
          <w:szCs w:val="24"/>
          <w:lang w:val="et-EE"/>
        </w:rPr>
        <w:t>pingutada tule</w:t>
      </w:r>
      <w:r w:rsidR="00356379">
        <w:rPr>
          <w:rFonts w:ascii="Arial" w:hAnsi="Arial" w:cs="Arial"/>
          <w:sz w:val="24"/>
          <w:szCs w:val="24"/>
          <w:lang w:val="et-EE"/>
        </w:rPr>
        <w:t>b</w:t>
      </w:r>
      <w:r w:rsidR="0003000A">
        <w:rPr>
          <w:rFonts w:ascii="Arial" w:hAnsi="Arial" w:cs="Arial"/>
          <w:sz w:val="24"/>
          <w:szCs w:val="24"/>
          <w:lang w:val="et-EE"/>
        </w:rPr>
        <w:t xml:space="preserve"> ka selles suunas, et loodavad nõuded on lihtsad, selged ja praktilise kasuga, mille tulemusena on ettevõtted nõus vabatahtlikult </w:t>
      </w:r>
      <w:r w:rsidR="00921231">
        <w:rPr>
          <w:rFonts w:ascii="Arial" w:hAnsi="Arial" w:cs="Arial"/>
          <w:sz w:val="24"/>
          <w:szCs w:val="24"/>
          <w:lang w:val="et-EE"/>
        </w:rPr>
        <w:t>hoolsuskohustus</w:t>
      </w:r>
      <w:r w:rsidR="00C87D54">
        <w:rPr>
          <w:rFonts w:ascii="Arial" w:hAnsi="Arial" w:cs="Arial"/>
          <w:sz w:val="24"/>
          <w:szCs w:val="24"/>
          <w:lang w:val="et-EE"/>
        </w:rPr>
        <w:t>i</w:t>
      </w:r>
      <w:r w:rsidR="00921231">
        <w:rPr>
          <w:rFonts w:ascii="Arial" w:hAnsi="Arial" w:cs="Arial"/>
          <w:sz w:val="24"/>
          <w:szCs w:val="24"/>
          <w:lang w:val="et-EE"/>
        </w:rPr>
        <w:t xml:space="preserve"> täitma.</w:t>
      </w:r>
    </w:p>
    <w:p w14:paraId="0D5BE0CE" w14:textId="6EF551E8" w:rsidR="00034C59" w:rsidRDefault="007A5487" w:rsidP="00C51EFB">
      <w:pPr>
        <w:spacing w:before="120" w:after="0" w:line="240" w:lineRule="auto"/>
        <w:jc w:val="both"/>
        <w:rPr>
          <w:rFonts w:ascii="Arial" w:hAnsi="Arial" w:cs="Arial"/>
          <w:sz w:val="24"/>
          <w:szCs w:val="24"/>
          <w:lang w:val="et-EE"/>
        </w:rPr>
      </w:pPr>
      <w:r>
        <w:rPr>
          <w:rFonts w:ascii="Arial" w:hAnsi="Arial" w:cs="Arial"/>
          <w:sz w:val="24"/>
          <w:szCs w:val="24"/>
          <w:lang w:val="et-EE"/>
        </w:rPr>
        <w:t xml:space="preserve">Lisaks juhime tähelepanu, et Kaubanduskoda </w:t>
      </w:r>
      <w:r w:rsidR="00E65161">
        <w:rPr>
          <w:rFonts w:ascii="Arial" w:hAnsi="Arial" w:cs="Arial"/>
          <w:sz w:val="24"/>
          <w:szCs w:val="24"/>
          <w:lang w:val="et-EE"/>
        </w:rPr>
        <w:t xml:space="preserve">tegi Euroopa Komisjoni koostatud direktiivi </w:t>
      </w:r>
      <w:r w:rsidR="004C4359">
        <w:rPr>
          <w:rFonts w:ascii="Arial" w:hAnsi="Arial" w:cs="Arial"/>
          <w:sz w:val="24"/>
          <w:szCs w:val="24"/>
          <w:lang w:val="et-EE"/>
        </w:rPr>
        <w:t xml:space="preserve">ettepaneku </w:t>
      </w:r>
      <w:r w:rsidR="00E65161">
        <w:rPr>
          <w:rFonts w:ascii="Arial" w:hAnsi="Arial" w:cs="Arial"/>
          <w:sz w:val="24"/>
          <w:szCs w:val="24"/>
          <w:lang w:val="et-EE"/>
        </w:rPr>
        <w:t xml:space="preserve">osas </w:t>
      </w:r>
      <w:r w:rsidR="002D2682">
        <w:rPr>
          <w:rFonts w:ascii="Arial" w:hAnsi="Arial" w:cs="Arial"/>
          <w:sz w:val="24"/>
          <w:szCs w:val="24"/>
          <w:lang w:val="et-EE"/>
        </w:rPr>
        <w:t xml:space="preserve">2022. aastal </w:t>
      </w:r>
      <w:r w:rsidR="00E65161">
        <w:rPr>
          <w:rFonts w:ascii="Arial" w:hAnsi="Arial" w:cs="Arial"/>
          <w:sz w:val="24"/>
          <w:szCs w:val="24"/>
          <w:lang w:val="et-EE"/>
        </w:rPr>
        <w:t>ettepaneku kitsendada direktiivi kohaldamisala</w:t>
      </w:r>
      <w:r w:rsidR="00511A96">
        <w:rPr>
          <w:rFonts w:ascii="Arial" w:hAnsi="Arial" w:cs="Arial"/>
          <w:sz w:val="24"/>
          <w:szCs w:val="24"/>
          <w:lang w:val="et-EE"/>
        </w:rPr>
        <w:t xml:space="preserve"> selliselt, et direktiiv </w:t>
      </w:r>
      <w:r w:rsidR="00EB1E76">
        <w:rPr>
          <w:rFonts w:ascii="Arial" w:hAnsi="Arial" w:cs="Arial"/>
          <w:sz w:val="24"/>
          <w:szCs w:val="24"/>
          <w:lang w:val="et-EE"/>
        </w:rPr>
        <w:t xml:space="preserve">kohalduks ELi ettevõtetest üksnes sellistele ettevõtetele, </w:t>
      </w:r>
      <w:r w:rsidR="00D63AEE">
        <w:rPr>
          <w:rFonts w:ascii="Arial" w:hAnsi="Arial" w:cs="Arial"/>
          <w:sz w:val="24"/>
          <w:szCs w:val="24"/>
          <w:lang w:val="et-EE"/>
        </w:rPr>
        <w:t xml:space="preserve">kellel on üle 1000 töötaja </w:t>
      </w:r>
      <w:r w:rsidR="00C52240" w:rsidRPr="00C52240">
        <w:rPr>
          <w:rFonts w:ascii="Arial" w:hAnsi="Arial" w:cs="Arial"/>
          <w:sz w:val="24"/>
          <w:szCs w:val="24"/>
          <w:lang w:val="et-EE"/>
        </w:rPr>
        <w:t>ning ülemaailmne netokäive üle</w:t>
      </w:r>
      <w:r w:rsidR="00C52240">
        <w:rPr>
          <w:rFonts w:ascii="Arial" w:hAnsi="Arial" w:cs="Arial"/>
          <w:sz w:val="24"/>
          <w:szCs w:val="24"/>
          <w:lang w:val="et-EE"/>
        </w:rPr>
        <w:t xml:space="preserve"> 300 miljoni euro. </w:t>
      </w:r>
      <w:r w:rsidR="00E65161">
        <w:rPr>
          <w:rFonts w:ascii="Arial" w:hAnsi="Arial" w:cs="Arial"/>
          <w:sz w:val="24"/>
          <w:szCs w:val="24"/>
          <w:lang w:val="et-EE"/>
        </w:rPr>
        <w:t xml:space="preserve">Oleme jätkuvalt </w:t>
      </w:r>
      <w:r w:rsidR="00825F81">
        <w:rPr>
          <w:rFonts w:ascii="Arial" w:hAnsi="Arial" w:cs="Arial"/>
          <w:sz w:val="24"/>
          <w:szCs w:val="24"/>
          <w:lang w:val="et-EE"/>
        </w:rPr>
        <w:t>sama</w:t>
      </w:r>
      <w:r w:rsidR="00F371C9">
        <w:rPr>
          <w:rFonts w:ascii="Arial" w:hAnsi="Arial" w:cs="Arial"/>
          <w:sz w:val="24"/>
          <w:szCs w:val="24"/>
          <w:lang w:val="et-EE"/>
        </w:rPr>
        <w:t>l</w:t>
      </w:r>
      <w:r w:rsidR="00825F81">
        <w:rPr>
          <w:rFonts w:ascii="Arial" w:hAnsi="Arial" w:cs="Arial"/>
          <w:sz w:val="24"/>
          <w:szCs w:val="24"/>
          <w:lang w:val="et-EE"/>
        </w:rPr>
        <w:t xml:space="preserve"> </w:t>
      </w:r>
      <w:r w:rsidR="00E65161">
        <w:rPr>
          <w:rFonts w:ascii="Arial" w:hAnsi="Arial" w:cs="Arial"/>
          <w:sz w:val="24"/>
          <w:szCs w:val="24"/>
          <w:lang w:val="et-EE"/>
        </w:rPr>
        <w:t>seisukohal</w:t>
      </w:r>
      <w:r w:rsidR="00825F81">
        <w:rPr>
          <w:rFonts w:ascii="Arial" w:hAnsi="Arial" w:cs="Arial"/>
          <w:sz w:val="24"/>
          <w:szCs w:val="24"/>
          <w:lang w:val="et-EE"/>
        </w:rPr>
        <w:t>.</w:t>
      </w:r>
    </w:p>
    <w:p w14:paraId="14E24EA6" w14:textId="1198AC67" w:rsidR="00034C59" w:rsidRDefault="00034C59" w:rsidP="00391D60">
      <w:pPr>
        <w:spacing w:before="120" w:after="0" w:line="240" w:lineRule="auto"/>
        <w:jc w:val="both"/>
        <w:rPr>
          <w:rFonts w:ascii="Arial" w:hAnsi="Arial" w:cs="Arial"/>
          <w:sz w:val="24"/>
          <w:szCs w:val="24"/>
          <w:lang w:val="et-EE"/>
        </w:rPr>
      </w:pPr>
      <w:r w:rsidRPr="00034C59">
        <w:rPr>
          <w:rFonts w:ascii="Arial" w:hAnsi="Arial" w:cs="Arial"/>
          <w:b/>
          <w:bCs/>
          <w:sz w:val="24"/>
          <w:szCs w:val="24"/>
          <w:u w:val="single"/>
          <w:lang w:val="et-EE"/>
        </w:rPr>
        <w:t>Kaubanduskoja seisukoht ja muudatusettepanek</w:t>
      </w:r>
      <w:r>
        <w:rPr>
          <w:rFonts w:ascii="Arial" w:hAnsi="Arial" w:cs="Arial"/>
          <w:sz w:val="24"/>
          <w:szCs w:val="24"/>
          <w:lang w:val="et-EE"/>
        </w:rPr>
        <w:t>:</w:t>
      </w:r>
    </w:p>
    <w:p w14:paraId="6A132744" w14:textId="291AB1B4" w:rsidR="000F1166" w:rsidRPr="00DB2F5E" w:rsidRDefault="008C2A95" w:rsidP="00974A38">
      <w:pPr>
        <w:pStyle w:val="Loendilik"/>
        <w:numPr>
          <w:ilvl w:val="0"/>
          <w:numId w:val="17"/>
        </w:numPr>
        <w:spacing w:after="0" w:line="240" w:lineRule="auto"/>
        <w:jc w:val="both"/>
        <w:rPr>
          <w:rFonts w:ascii="Arial" w:hAnsi="Arial" w:cs="Arial"/>
          <w:b/>
          <w:bCs/>
          <w:sz w:val="24"/>
          <w:szCs w:val="24"/>
          <w:lang w:val="et-EE"/>
        </w:rPr>
      </w:pPr>
      <w:r w:rsidRPr="00DB2F5E">
        <w:rPr>
          <w:rFonts w:ascii="Arial" w:hAnsi="Arial" w:cs="Arial"/>
          <w:b/>
          <w:bCs/>
          <w:sz w:val="24"/>
          <w:szCs w:val="24"/>
          <w:lang w:val="et-EE"/>
        </w:rPr>
        <w:t xml:space="preserve">Kaubanduskoda on </w:t>
      </w:r>
      <w:r w:rsidR="00DB2F5E">
        <w:rPr>
          <w:rFonts w:ascii="Arial" w:hAnsi="Arial" w:cs="Arial"/>
          <w:b/>
          <w:bCs/>
          <w:sz w:val="24"/>
          <w:szCs w:val="24"/>
          <w:lang w:val="et-EE"/>
        </w:rPr>
        <w:t xml:space="preserve">tugevalt </w:t>
      </w:r>
      <w:r w:rsidRPr="00DB2F5E">
        <w:rPr>
          <w:rFonts w:ascii="Arial" w:hAnsi="Arial" w:cs="Arial"/>
          <w:b/>
          <w:bCs/>
          <w:sz w:val="24"/>
          <w:szCs w:val="24"/>
          <w:lang w:val="et-EE"/>
        </w:rPr>
        <w:t>vastu Euroopa Parlam</w:t>
      </w:r>
      <w:r w:rsidR="00E72794" w:rsidRPr="00DB2F5E">
        <w:rPr>
          <w:rFonts w:ascii="Arial" w:hAnsi="Arial" w:cs="Arial"/>
          <w:b/>
          <w:bCs/>
          <w:sz w:val="24"/>
          <w:szCs w:val="24"/>
          <w:lang w:val="et-EE"/>
        </w:rPr>
        <w:t>e</w:t>
      </w:r>
      <w:r w:rsidRPr="00DB2F5E">
        <w:rPr>
          <w:rFonts w:ascii="Arial" w:hAnsi="Arial" w:cs="Arial"/>
          <w:b/>
          <w:bCs/>
          <w:sz w:val="24"/>
          <w:szCs w:val="24"/>
          <w:lang w:val="et-EE"/>
        </w:rPr>
        <w:t xml:space="preserve">ndi muudatusettepanekutele </w:t>
      </w:r>
      <w:r w:rsidR="00E72794" w:rsidRPr="00DB2F5E">
        <w:rPr>
          <w:rFonts w:ascii="Arial" w:hAnsi="Arial" w:cs="Arial"/>
          <w:b/>
          <w:bCs/>
          <w:sz w:val="24"/>
          <w:szCs w:val="24"/>
          <w:lang w:val="et-EE"/>
        </w:rPr>
        <w:t>direktiivi kohaldamisala künniste vähendamiseks.</w:t>
      </w:r>
    </w:p>
    <w:p w14:paraId="3DE77831" w14:textId="38BDF2AA" w:rsidR="00F92800" w:rsidRPr="00DB2F5E" w:rsidRDefault="00E72794" w:rsidP="00974A38">
      <w:pPr>
        <w:pStyle w:val="Loendilik"/>
        <w:numPr>
          <w:ilvl w:val="0"/>
          <w:numId w:val="17"/>
        </w:numPr>
        <w:spacing w:after="0" w:line="240" w:lineRule="auto"/>
        <w:jc w:val="both"/>
        <w:rPr>
          <w:rFonts w:ascii="Arial" w:hAnsi="Arial" w:cs="Arial"/>
          <w:b/>
          <w:bCs/>
          <w:sz w:val="24"/>
          <w:szCs w:val="24"/>
          <w:lang w:val="et-EE"/>
        </w:rPr>
      </w:pPr>
      <w:r w:rsidRPr="00DB2F5E">
        <w:rPr>
          <w:rFonts w:ascii="Arial" w:hAnsi="Arial" w:cs="Arial"/>
          <w:b/>
          <w:bCs/>
          <w:sz w:val="24"/>
          <w:szCs w:val="24"/>
          <w:lang w:val="et-EE"/>
        </w:rPr>
        <w:t xml:space="preserve">Meie esimene eelistus on muuta </w:t>
      </w:r>
      <w:r w:rsidR="00F92800" w:rsidRPr="00DB2F5E">
        <w:rPr>
          <w:rFonts w:ascii="Arial" w:hAnsi="Arial" w:cs="Arial"/>
          <w:b/>
          <w:bCs/>
          <w:sz w:val="24"/>
          <w:szCs w:val="24"/>
          <w:lang w:val="et-EE"/>
        </w:rPr>
        <w:t>direktiivi artikkel 2 lg</w:t>
      </w:r>
      <w:r w:rsidR="00CA229E" w:rsidRPr="00DB2F5E">
        <w:rPr>
          <w:rFonts w:ascii="Arial" w:hAnsi="Arial" w:cs="Arial"/>
          <w:b/>
          <w:bCs/>
          <w:sz w:val="24"/>
          <w:szCs w:val="24"/>
          <w:lang w:val="et-EE"/>
        </w:rPr>
        <w:t xml:space="preserve"> </w:t>
      </w:r>
      <w:r w:rsidR="00F92800" w:rsidRPr="00DB2F5E">
        <w:rPr>
          <w:rFonts w:ascii="Arial" w:hAnsi="Arial" w:cs="Arial"/>
          <w:b/>
          <w:bCs/>
          <w:sz w:val="24"/>
          <w:szCs w:val="24"/>
          <w:lang w:val="et-EE"/>
        </w:rPr>
        <w:t xml:space="preserve">1 </w:t>
      </w:r>
      <w:r w:rsidR="00CA229E" w:rsidRPr="00DB2F5E">
        <w:rPr>
          <w:rFonts w:ascii="Arial" w:hAnsi="Arial" w:cs="Arial"/>
          <w:b/>
          <w:bCs/>
          <w:sz w:val="24"/>
          <w:szCs w:val="24"/>
          <w:lang w:val="et-EE"/>
        </w:rPr>
        <w:t xml:space="preserve">sõnastust </w:t>
      </w:r>
      <w:r w:rsidR="00F92800" w:rsidRPr="00DB2F5E">
        <w:rPr>
          <w:rFonts w:ascii="Arial" w:hAnsi="Arial" w:cs="Arial"/>
          <w:b/>
          <w:bCs/>
          <w:sz w:val="24"/>
          <w:szCs w:val="24"/>
          <w:lang w:val="et-EE"/>
        </w:rPr>
        <w:t>järgmiselt:</w:t>
      </w:r>
    </w:p>
    <w:p w14:paraId="27304DC6" w14:textId="09EC1C50" w:rsidR="008E19AB" w:rsidRPr="00CC545C" w:rsidRDefault="00F92800" w:rsidP="00974A38">
      <w:pPr>
        <w:pStyle w:val="Loendilik"/>
        <w:spacing w:after="0" w:line="240" w:lineRule="auto"/>
        <w:jc w:val="both"/>
        <w:rPr>
          <w:rFonts w:ascii="Arial" w:hAnsi="Arial" w:cs="Arial"/>
          <w:b/>
          <w:bCs/>
          <w:i/>
          <w:iCs/>
          <w:sz w:val="24"/>
          <w:szCs w:val="24"/>
          <w:lang w:val="et-EE"/>
        </w:rPr>
      </w:pPr>
      <w:r w:rsidRPr="00CC545C">
        <w:rPr>
          <w:rFonts w:ascii="Arial" w:hAnsi="Arial" w:cs="Arial"/>
          <w:b/>
          <w:bCs/>
          <w:i/>
          <w:iCs/>
          <w:sz w:val="24"/>
          <w:szCs w:val="24"/>
          <w:lang w:val="et-EE"/>
        </w:rPr>
        <w:t>„</w:t>
      </w:r>
      <w:r w:rsidR="00BB32D9" w:rsidRPr="00CC545C">
        <w:rPr>
          <w:rFonts w:ascii="Arial" w:hAnsi="Arial" w:cs="Arial"/>
          <w:b/>
          <w:bCs/>
          <w:i/>
          <w:iCs/>
          <w:sz w:val="24"/>
          <w:szCs w:val="24"/>
          <w:lang w:val="et-EE"/>
        </w:rPr>
        <w:t xml:space="preserve">1. </w:t>
      </w:r>
      <w:r w:rsidR="008E19AB" w:rsidRPr="00CC545C">
        <w:rPr>
          <w:rFonts w:ascii="Arial" w:hAnsi="Arial" w:cs="Arial"/>
          <w:b/>
          <w:bCs/>
          <w:i/>
          <w:iCs/>
          <w:sz w:val="24"/>
          <w:szCs w:val="24"/>
          <w:lang w:val="et-EE"/>
        </w:rPr>
        <w:t xml:space="preserve">Käesolevat direktiivi kohaldatakse selliste äriühingute suhtes, mis on asutatud liikmesriigi õigusaktide kohaselt ja mis vastavad </w:t>
      </w:r>
      <w:r w:rsidR="00F95AC3" w:rsidRPr="00CC545C">
        <w:rPr>
          <w:rFonts w:ascii="Arial" w:hAnsi="Arial" w:cs="Arial"/>
          <w:b/>
          <w:bCs/>
          <w:i/>
          <w:iCs/>
          <w:sz w:val="24"/>
          <w:szCs w:val="24"/>
          <w:lang w:val="et-EE"/>
        </w:rPr>
        <w:t xml:space="preserve">järgmistele tingimustele: äriühingul oli viimasel majandusaastal, mille kohta on või oleks pidanud olema vastu võetud aruandeaasta finantsaruanded, keskmiselt üle </w:t>
      </w:r>
      <w:r w:rsidR="004A546E" w:rsidRPr="00CC545C">
        <w:rPr>
          <w:rFonts w:ascii="Arial" w:hAnsi="Arial" w:cs="Arial"/>
          <w:b/>
          <w:bCs/>
          <w:i/>
          <w:iCs/>
          <w:sz w:val="24"/>
          <w:szCs w:val="24"/>
          <w:lang w:val="et-EE"/>
        </w:rPr>
        <w:t>10</w:t>
      </w:r>
      <w:r w:rsidR="00F95AC3" w:rsidRPr="00CC545C">
        <w:rPr>
          <w:rFonts w:ascii="Arial" w:hAnsi="Arial" w:cs="Arial"/>
          <w:b/>
          <w:bCs/>
          <w:i/>
          <w:iCs/>
          <w:sz w:val="24"/>
          <w:szCs w:val="24"/>
          <w:lang w:val="et-EE"/>
        </w:rPr>
        <w:t xml:space="preserve">00 töötaja ja selle ülemaailmne netokäive oli üle </w:t>
      </w:r>
      <w:r w:rsidR="000E192D" w:rsidRPr="00CC545C">
        <w:rPr>
          <w:rFonts w:ascii="Arial" w:hAnsi="Arial" w:cs="Arial"/>
          <w:b/>
          <w:bCs/>
          <w:i/>
          <w:iCs/>
          <w:sz w:val="24"/>
          <w:szCs w:val="24"/>
          <w:lang w:val="et-EE"/>
        </w:rPr>
        <w:t>300</w:t>
      </w:r>
      <w:r w:rsidR="00F95AC3" w:rsidRPr="00CC545C">
        <w:rPr>
          <w:rFonts w:ascii="Arial" w:hAnsi="Arial" w:cs="Arial"/>
          <w:b/>
          <w:bCs/>
          <w:i/>
          <w:iCs/>
          <w:sz w:val="24"/>
          <w:szCs w:val="24"/>
          <w:lang w:val="et-EE"/>
        </w:rPr>
        <w:t xml:space="preserve"> miljoni euro</w:t>
      </w:r>
      <w:r w:rsidR="000E192D" w:rsidRPr="00CC545C">
        <w:rPr>
          <w:rFonts w:ascii="Arial" w:hAnsi="Arial" w:cs="Arial"/>
          <w:b/>
          <w:bCs/>
          <w:i/>
          <w:iCs/>
          <w:sz w:val="24"/>
          <w:szCs w:val="24"/>
          <w:lang w:val="et-EE"/>
        </w:rPr>
        <w:t>.“</w:t>
      </w:r>
    </w:p>
    <w:p w14:paraId="24A27C7B" w14:textId="61AC3F13" w:rsidR="008E19AB" w:rsidRPr="00DB2F5E" w:rsidRDefault="0080145E" w:rsidP="00974A38">
      <w:pPr>
        <w:pStyle w:val="Loendilik"/>
        <w:numPr>
          <w:ilvl w:val="0"/>
          <w:numId w:val="17"/>
        </w:numPr>
        <w:spacing w:after="0" w:line="240" w:lineRule="auto"/>
        <w:jc w:val="both"/>
        <w:rPr>
          <w:rFonts w:ascii="Arial" w:hAnsi="Arial" w:cs="Arial"/>
          <w:b/>
          <w:bCs/>
          <w:sz w:val="24"/>
          <w:szCs w:val="24"/>
          <w:lang w:val="et-EE"/>
        </w:rPr>
      </w:pPr>
      <w:r w:rsidRPr="00DB2F5E">
        <w:rPr>
          <w:rFonts w:ascii="Arial" w:hAnsi="Arial" w:cs="Arial"/>
          <w:b/>
          <w:bCs/>
          <w:sz w:val="24"/>
          <w:szCs w:val="24"/>
          <w:lang w:val="et-EE"/>
        </w:rPr>
        <w:t xml:space="preserve">Kui </w:t>
      </w:r>
      <w:r w:rsidR="0057495A" w:rsidRPr="00DB2F5E">
        <w:rPr>
          <w:rFonts w:ascii="Arial" w:hAnsi="Arial" w:cs="Arial"/>
          <w:b/>
          <w:bCs/>
          <w:sz w:val="24"/>
          <w:szCs w:val="24"/>
          <w:lang w:val="et-EE"/>
        </w:rPr>
        <w:t>Kaubanduskoja</w:t>
      </w:r>
      <w:r w:rsidR="00757A6C" w:rsidRPr="00DB2F5E">
        <w:rPr>
          <w:rFonts w:ascii="Arial" w:hAnsi="Arial" w:cs="Arial"/>
          <w:b/>
          <w:bCs/>
          <w:sz w:val="24"/>
          <w:szCs w:val="24"/>
          <w:lang w:val="et-EE"/>
        </w:rPr>
        <w:t xml:space="preserve"> ettepanek ei leia </w:t>
      </w:r>
      <w:r w:rsidR="00D30398" w:rsidRPr="00DB2F5E">
        <w:rPr>
          <w:rFonts w:ascii="Arial" w:hAnsi="Arial" w:cs="Arial"/>
          <w:b/>
          <w:bCs/>
          <w:sz w:val="24"/>
          <w:szCs w:val="24"/>
          <w:lang w:val="et-EE"/>
        </w:rPr>
        <w:t xml:space="preserve">EL-s </w:t>
      </w:r>
      <w:r w:rsidR="00757A6C" w:rsidRPr="00DB2F5E">
        <w:rPr>
          <w:rFonts w:ascii="Arial" w:hAnsi="Arial" w:cs="Arial"/>
          <w:b/>
          <w:bCs/>
          <w:sz w:val="24"/>
          <w:szCs w:val="24"/>
          <w:lang w:val="et-EE"/>
        </w:rPr>
        <w:t>toetus</w:t>
      </w:r>
      <w:r w:rsidR="0057495A" w:rsidRPr="00DB2F5E">
        <w:rPr>
          <w:rFonts w:ascii="Arial" w:hAnsi="Arial" w:cs="Arial"/>
          <w:b/>
          <w:bCs/>
          <w:sz w:val="24"/>
          <w:szCs w:val="24"/>
          <w:lang w:val="et-EE"/>
        </w:rPr>
        <w:t>t, siis</w:t>
      </w:r>
      <w:r w:rsidR="00D30398" w:rsidRPr="00DB2F5E">
        <w:rPr>
          <w:rFonts w:ascii="Arial" w:hAnsi="Arial" w:cs="Arial"/>
          <w:b/>
          <w:bCs/>
          <w:sz w:val="24"/>
          <w:szCs w:val="24"/>
          <w:lang w:val="et-EE"/>
        </w:rPr>
        <w:t xml:space="preserve"> </w:t>
      </w:r>
      <w:r w:rsidR="00DB2F5E" w:rsidRPr="00DB2F5E">
        <w:rPr>
          <w:rFonts w:ascii="Arial" w:hAnsi="Arial" w:cs="Arial"/>
          <w:b/>
          <w:bCs/>
          <w:sz w:val="24"/>
          <w:szCs w:val="24"/>
          <w:lang w:val="et-EE"/>
        </w:rPr>
        <w:t>eelistame Euroopa Komisjoni algset ettepanekut Euroopa Parlamendi muudatusettepanekutele.</w:t>
      </w:r>
    </w:p>
    <w:p w14:paraId="5487814C" w14:textId="77777777" w:rsidR="008E19AB" w:rsidRDefault="008E19AB" w:rsidP="00391D60">
      <w:pPr>
        <w:spacing w:before="120" w:after="120" w:line="240" w:lineRule="auto"/>
        <w:jc w:val="both"/>
        <w:rPr>
          <w:rFonts w:ascii="Arial" w:hAnsi="Arial" w:cs="Arial"/>
          <w:sz w:val="24"/>
          <w:szCs w:val="24"/>
          <w:lang w:val="et-EE"/>
        </w:rPr>
      </w:pPr>
    </w:p>
    <w:p w14:paraId="7F6195E3" w14:textId="2ED4CD50" w:rsidR="00391D60" w:rsidRPr="00017093" w:rsidRDefault="00391D60" w:rsidP="00974A38">
      <w:pPr>
        <w:spacing w:after="0" w:line="240" w:lineRule="auto"/>
        <w:jc w:val="both"/>
        <w:rPr>
          <w:rFonts w:ascii="Arial" w:hAnsi="Arial" w:cs="Arial"/>
          <w:b/>
          <w:bCs/>
          <w:sz w:val="24"/>
          <w:szCs w:val="24"/>
          <w:lang w:val="et-EE"/>
        </w:rPr>
      </w:pPr>
      <w:r w:rsidRPr="00017093">
        <w:rPr>
          <w:rFonts w:ascii="Arial" w:hAnsi="Arial" w:cs="Arial"/>
          <w:b/>
          <w:bCs/>
          <w:sz w:val="24"/>
          <w:szCs w:val="24"/>
          <w:lang w:val="et-EE"/>
        </w:rPr>
        <w:t xml:space="preserve">2. </w:t>
      </w:r>
      <w:r w:rsidR="0081341D" w:rsidRPr="00017093">
        <w:rPr>
          <w:rFonts w:ascii="Arial" w:hAnsi="Arial" w:cs="Arial"/>
          <w:b/>
          <w:bCs/>
          <w:sz w:val="24"/>
          <w:szCs w:val="24"/>
          <w:lang w:val="et-EE"/>
        </w:rPr>
        <w:t>Kõrge riskiga sektorite loetelu</w:t>
      </w:r>
      <w:r w:rsidR="00017093" w:rsidRPr="00017093">
        <w:rPr>
          <w:rFonts w:ascii="Arial" w:hAnsi="Arial" w:cs="Arial"/>
          <w:b/>
          <w:bCs/>
          <w:sz w:val="24"/>
          <w:szCs w:val="24"/>
          <w:lang w:val="et-EE"/>
        </w:rPr>
        <w:t xml:space="preserve"> täiendamine (direktiivi art 2)</w:t>
      </w:r>
    </w:p>
    <w:p w14:paraId="47908558" w14:textId="2B1ADB12" w:rsidR="00B7466B" w:rsidRDefault="003A4680" w:rsidP="00974A38">
      <w:pPr>
        <w:spacing w:after="0" w:line="240" w:lineRule="auto"/>
        <w:jc w:val="both"/>
        <w:rPr>
          <w:rFonts w:ascii="Arial" w:hAnsi="Arial" w:cs="Arial"/>
          <w:sz w:val="24"/>
          <w:szCs w:val="24"/>
          <w:lang w:val="et-EE"/>
        </w:rPr>
      </w:pPr>
      <w:r w:rsidRPr="003A4680">
        <w:rPr>
          <w:rFonts w:ascii="Arial" w:hAnsi="Arial" w:cs="Arial"/>
          <w:sz w:val="24"/>
          <w:szCs w:val="24"/>
          <w:lang w:val="et-EE"/>
        </w:rPr>
        <w:t xml:space="preserve">Üldise lähenemisviisi tekstis (dokumendi lk 63-64) on </w:t>
      </w:r>
      <w:r w:rsidR="00236871">
        <w:rPr>
          <w:rFonts w:ascii="Arial" w:hAnsi="Arial" w:cs="Arial"/>
          <w:sz w:val="24"/>
          <w:szCs w:val="24"/>
          <w:lang w:val="et-EE"/>
        </w:rPr>
        <w:t>kõrge riskiga sektorite</w:t>
      </w:r>
      <w:r w:rsidR="000E5704">
        <w:rPr>
          <w:rFonts w:ascii="Arial" w:hAnsi="Arial" w:cs="Arial"/>
          <w:sz w:val="24"/>
          <w:szCs w:val="24"/>
          <w:lang w:val="et-EE"/>
        </w:rPr>
        <w:t>ks järgmised tegevusalad</w:t>
      </w:r>
      <w:r w:rsidR="00F927E2">
        <w:rPr>
          <w:rFonts w:ascii="Arial" w:hAnsi="Arial" w:cs="Arial"/>
          <w:sz w:val="24"/>
          <w:szCs w:val="24"/>
          <w:lang w:val="et-EE"/>
        </w:rPr>
        <w:t xml:space="preserve"> (art 2 lg 1 punkt </w:t>
      </w:r>
      <w:r w:rsidR="00F60D21">
        <w:rPr>
          <w:rFonts w:ascii="Arial" w:hAnsi="Arial" w:cs="Arial"/>
          <w:sz w:val="24"/>
          <w:szCs w:val="24"/>
          <w:lang w:val="et-EE"/>
        </w:rPr>
        <w:t>b)</w:t>
      </w:r>
      <w:r w:rsidR="000E5704">
        <w:rPr>
          <w:rFonts w:ascii="Arial" w:hAnsi="Arial" w:cs="Arial"/>
          <w:sz w:val="24"/>
          <w:szCs w:val="24"/>
          <w:lang w:val="et-EE"/>
        </w:rPr>
        <w:t>:</w:t>
      </w:r>
    </w:p>
    <w:p w14:paraId="1BD8DED1" w14:textId="77777777" w:rsidR="00B7466B" w:rsidRPr="00F60D21" w:rsidRDefault="00B7466B" w:rsidP="00F60D21">
      <w:pPr>
        <w:pStyle w:val="Loendilik"/>
        <w:numPr>
          <w:ilvl w:val="0"/>
          <w:numId w:val="17"/>
        </w:numPr>
        <w:spacing w:after="0" w:line="240" w:lineRule="auto"/>
        <w:jc w:val="both"/>
        <w:rPr>
          <w:rFonts w:ascii="Arial" w:hAnsi="Arial" w:cs="Arial"/>
          <w:sz w:val="24"/>
          <w:szCs w:val="24"/>
          <w:lang w:val="et-EE"/>
        </w:rPr>
      </w:pPr>
      <w:r w:rsidRPr="00F60D21">
        <w:rPr>
          <w:rFonts w:ascii="Arial" w:hAnsi="Arial" w:cs="Arial"/>
          <w:sz w:val="24"/>
          <w:szCs w:val="24"/>
          <w:lang w:val="et-EE"/>
        </w:rPr>
        <w:t>tekstiilitootmine, nahatöötlemine ja nahktoodete (sealhulgas jalatsite) tootmine ning tekstiil-, rõiva- ja jalatsitoodete hulgimüük;</w:t>
      </w:r>
    </w:p>
    <w:p w14:paraId="480A7A0E" w14:textId="5E66E04B" w:rsidR="003A4680" w:rsidRDefault="00B7466B" w:rsidP="00F60D21">
      <w:pPr>
        <w:pStyle w:val="Loendilik"/>
        <w:numPr>
          <w:ilvl w:val="0"/>
          <w:numId w:val="17"/>
        </w:numPr>
        <w:spacing w:after="0" w:line="240" w:lineRule="auto"/>
        <w:jc w:val="both"/>
        <w:rPr>
          <w:rFonts w:ascii="Arial" w:hAnsi="Arial" w:cs="Arial"/>
          <w:sz w:val="24"/>
          <w:szCs w:val="24"/>
          <w:lang w:val="et-EE"/>
        </w:rPr>
      </w:pPr>
      <w:r w:rsidRPr="00F60D21">
        <w:rPr>
          <w:rFonts w:ascii="Arial" w:hAnsi="Arial" w:cs="Arial"/>
          <w:sz w:val="24"/>
          <w:szCs w:val="24"/>
          <w:lang w:val="et-EE"/>
        </w:rPr>
        <w:t>põllumajandus, metsandus, kalandus (sealhulgas vesiviljelus), toiduainete ja jookide tootmine ning põllumajandusliku tooraine, elusloomade, puidu, toidu ja jookide hulgimüük;</w:t>
      </w:r>
    </w:p>
    <w:p w14:paraId="52D5ED7E" w14:textId="70638930" w:rsidR="00F60D21" w:rsidRDefault="004126CD" w:rsidP="00F60D21">
      <w:pPr>
        <w:pStyle w:val="Loendilik"/>
        <w:numPr>
          <w:ilvl w:val="0"/>
          <w:numId w:val="17"/>
        </w:numPr>
        <w:spacing w:after="0" w:line="240" w:lineRule="auto"/>
        <w:jc w:val="both"/>
        <w:rPr>
          <w:rFonts w:ascii="Arial" w:hAnsi="Arial" w:cs="Arial"/>
          <w:sz w:val="24"/>
          <w:szCs w:val="24"/>
          <w:lang w:val="et-EE"/>
        </w:rPr>
      </w:pPr>
      <w:r w:rsidRPr="004126CD">
        <w:rPr>
          <w:rFonts w:ascii="Arial" w:hAnsi="Arial" w:cs="Arial"/>
          <w:sz w:val="24"/>
          <w:szCs w:val="24"/>
          <w:lang w:val="et-EE"/>
        </w:rPr>
        <w:t xml:space="preserve">maavarade kaevandamine, olenemata nende kaevandamise kohast, põhimetalltoodete, muude mittemetalsetest mineraalidest toodete ja </w:t>
      </w:r>
      <w:r w:rsidRPr="004126CD">
        <w:rPr>
          <w:rFonts w:ascii="Arial" w:hAnsi="Arial" w:cs="Arial"/>
          <w:sz w:val="24"/>
          <w:szCs w:val="24"/>
          <w:lang w:val="et-EE"/>
        </w:rPr>
        <w:lastRenderedPageBreak/>
        <w:t>metalltoodete (v.a masinad ja seadmed) tootmine ning maavarade ja mineraalidest põhi- ja vahetoodete (sealhulgas metallide ja metallimaakide, ehitusmaterjalide, kütuste, kemikaalide ja muude vahetoodete) hulgimüük.</w:t>
      </w:r>
    </w:p>
    <w:p w14:paraId="291E8218" w14:textId="38350C18" w:rsidR="00215DDE" w:rsidRDefault="00A6351B" w:rsidP="00C4080B">
      <w:pPr>
        <w:spacing w:before="120" w:after="0" w:line="240" w:lineRule="auto"/>
        <w:jc w:val="both"/>
        <w:rPr>
          <w:rFonts w:ascii="Arial" w:hAnsi="Arial" w:cs="Arial"/>
          <w:sz w:val="24"/>
          <w:szCs w:val="24"/>
          <w:lang w:val="et-EE"/>
        </w:rPr>
      </w:pPr>
      <w:r w:rsidRPr="00A6351B">
        <w:rPr>
          <w:rFonts w:ascii="Arial" w:hAnsi="Arial" w:cs="Arial"/>
          <w:sz w:val="24"/>
          <w:szCs w:val="24"/>
          <w:lang w:val="et-EE"/>
        </w:rPr>
        <w:t>Euroopa Parlamendi mustandraportis on tehtud ettepanek</w:t>
      </w:r>
      <w:r>
        <w:rPr>
          <w:rFonts w:ascii="Arial" w:hAnsi="Arial" w:cs="Arial"/>
          <w:sz w:val="24"/>
          <w:szCs w:val="24"/>
          <w:lang w:val="et-EE"/>
        </w:rPr>
        <w:t xml:space="preserve"> </w:t>
      </w:r>
      <w:r w:rsidR="00A452F1">
        <w:rPr>
          <w:rFonts w:ascii="Arial" w:hAnsi="Arial" w:cs="Arial"/>
          <w:sz w:val="24"/>
          <w:szCs w:val="24"/>
          <w:lang w:val="et-EE"/>
        </w:rPr>
        <w:t xml:space="preserve">lisada </w:t>
      </w:r>
      <w:r>
        <w:rPr>
          <w:rFonts w:ascii="Arial" w:hAnsi="Arial" w:cs="Arial"/>
          <w:sz w:val="24"/>
          <w:szCs w:val="24"/>
          <w:lang w:val="et-EE"/>
        </w:rPr>
        <w:t xml:space="preserve">kõrge riskiga sektorite loetellu </w:t>
      </w:r>
      <w:r w:rsidR="0081341D" w:rsidRPr="00F13B53">
        <w:rPr>
          <w:rFonts w:ascii="Arial" w:hAnsi="Arial" w:cs="Arial"/>
          <w:b/>
          <w:bCs/>
          <w:sz w:val="24"/>
          <w:szCs w:val="24"/>
          <w:lang w:val="et-EE"/>
        </w:rPr>
        <w:t>ehitustööd ja seonduvad tegevused</w:t>
      </w:r>
      <w:r w:rsidR="0081341D" w:rsidRPr="0081341D">
        <w:rPr>
          <w:rFonts w:ascii="Arial" w:hAnsi="Arial" w:cs="Arial"/>
          <w:sz w:val="24"/>
          <w:szCs w:val="24"/>
          <w:lang w:val="et-EE"/>
        </w:rPr>
        <w:t xml:space="preserve"> (raporti lk 47, muudatusettepanek 56), </w:t>
      </w:r>
      <w:r w:rsidR="0081341D" w:rsidRPr="00F852BE">
        <w:rPr>
          <w:rFonts w:ascii="Arial" w:hAnsi="Arial" w:cs="Arial"/>
          <w:b/>
          <w:bCs/>
          <w:sz w:val="24"/>
          <w:szCs w:val="24"/>
          <w:lang w:val="et-EE"/>
        </w:rPr>
        <w:t>f</w:t>
      </w:r>
      <w:r w:rsidR="0081341D" w:rsidRPr="00F13B53">
        <w:rPr>
          <w:rFonts w:ascii="Arial" w:hAnsi="Arial" w:cs="Arial"/>
          <w:b/>
          <w:bCs/>
          <w:sz w:val="24"/>
          <w:szCs w:val="24"/>
          <w:lang w:val="et-EE"/>
        </w:rPr>
        <w:t>inantsteenused</w:t>
      </w:r>
      <w:r w:rsidR="0081341D" w:rsidRPr="0081341D">
        <w:rPr>
          <w:rFonts w:ascii="Arial" w:hAnsi="Arial" w:cs="Arial"/>
          <w:sz w:val="24"/>
          <w:szCs w:val="24"/>
          <w:lang w:val="et-EE"/>
        </w:rPr>
        <w:t xml:space="preserve"> (raporti lk 47-48, muudatusettepanek 57) ning </w:t>
      </w:r>
      <w:r w:rsidR="0081341D" w:rsidRPr="00F13B53">
        <w:rPr>
          <w:rFonts w:ascii="Arial" w:hAnsi="Arial" w:cs="Arial"/>
          <w:b/>
          <w:bCs/>
          <w:sz w:val="24"/>
          <w:szCs w:val="24"/>
          <w:lang w:val="et-EE"/>
        </w:rPr>
        <w:t>info- ja kommunikatsioonitehnoloogiaga seotud teenused</w:t>
      </w:r>
      <w:r w:rsidR="0081341D" w:rsidRPr="0081341D">
        <w:rPr>
          <w:rFonts w:ascii="Arial" w:hAnsi="Arial" w:cs="Arial"/>
          <w:sz w:val="24"/>
          <w:szCs w:val="24"/>
          <w:lang w:val="et-EE"/>
        </w:rPr>
        <w:t xml:space="preserve"> (raporti lk 48, muudatusettepanek 58).</w:t>
      </w:r>
      <w:r w:rsidR="00256532">
        <w:rPr>
          <w:rFonts w:ascii="Arial" w:hAnsi="Arial" w:cs="Arial"/>
          <w:sz w:val="24"/>
          <w:szCs w:val="24"/>
          <w:lang w:val="et-EE"/>
        </w:rPr>
        <w:t xml:space="preserve"> Lisaks on tehtud ettepanek täiendada olemasolevaid tegevusalasid.</w:t>
      </w:r>
      <w:r w:rsidR="0005122D">
        <w:rPr>
          <w:rFonts w:ascii="Arial" w:hAnsi="Arial" w:cs="Arial"/>
          <w:sz w:val="24"/>
          <w:szCs w:val="24"/>
          <w:lang w:val="et-EE"/>
        </w:rPr>
        <w:t xml:space="preserve"> Näiteks lisanduks </w:t>
      </w:r>
      <w:r w:rsidR="0005122D" w:rsidRPr="00A32208">
        <w:rPr>
          <w:rFonts w:ascii="Arial" w:hAnsi="Arial" w:cs="Arial"/>
          <w:b/>
          <w:bCs/>
          <w:sz w:val="24"/>
          <w:szCs w:val="24"/>
          <w:lang w:val="et-EE"/>
        </w:rPr>
        <w:t>tekstiil-, rõiva- ja jalatsitoodete jae</w:t>
      </w:r>
      <w:r w:rsidR="00D94202" w:rsidRPr="00A32208">
        <w:rPr>
          <w:rFonts w:ascii="Arial" w:hAnsi="Arial" w:cs="Arial"/>
          <w:b/>
          <w:bCs/>
          <w:sz w:val="24"/>
          <w:szCs w:val="24"/>
          <w:lang w:val="et-EE"/>
        </w:rPr>
        <w:t>m</w:t>
      </w:r>
      <w:r w:rsidR="0005122D" w:rsidRPr="00A32208">
        <w:rPr>
          <w:rFonts w:ascii="Arial" w:hAnsi="Arial" w:cs="Arial"/>
          <w:b/>
          <w:bCs/>
          <w:sz w:val="24"/>
          <w:szCs w:val="24"/>
          <w:lang w:val="et-EE"/>
        </w:rPr>
        <w:t>üük</w:t>
      </w:r>
      <w:r w:rsidR="00D94202">
        <w:rPr>
          <w:rFonts w:ascii="Arial" w:hAnsi="Arial" w:cs="Arial"/>
          <w:sz w:val="24"/>
          <w:szCs w:val="24"/>
          <w:lang w:val="et-EE"/>
        </w:rPr>
        <w:t xml:space="preserve"> (</w:t>
      </w:r>
      <w:r w:rsidR="00D94202" w:rsidRPr="00D94202">
        <w:rPr>
          <w:rFonts w:ascii="Arial" w:hAnsi="Arial" w:cs="Arial"/>
          <w:sz w:val="24"/>
          <w:szCs w:val="24"/>
          <w:lang w:val="et-EE"/>
        </w:rPr>
        <w:t xml:space="preserve">raporti lk </w:t>
      </w:r>
      <w:r w:rsidR="00D94202">
        <w:rPr>
          <w:rFonts w:ascii="Arial" w:hAnsi="Arial" w:cs="Arial"/>
          <w:sz w:val="24"/>
          <w:szCs w:val="24"/>
          <w:lang w:val="et-EE"/>
        </w:rPr>
        <w:t>46</w:t>
      </w:r>
      <w:r w:rsidR="00D94202" w:rsidRPr="00D94202">
        <w:rPr>
          <w:rFonts w:ascii="Arial" w:hAnsi="Arial" w:cs="Arial"/>
          <w:sz w:val="24"/>
          <w:szCs w:val="24"/>
          <w:lang w:val="et-EE"/>
        </w:rPr>
        <w:t>, muudatusettepanek 5</w:t>
      </w:r>
      <w:r w:rsidR="00D94202">
        <w:rPr>
          <w:rFonts w:ascii="Arial" w:hAnsi="Arial" w:cs="Arial"/>
          <w:sz w:val="24"/>
          <w:szCs w:val="24"/>
          <w:lang w:val="et-EE"/>
        </w:rPr>
        <w:t>3</w:t>
      </w:r>
      <w:r w:rsidR="00D94202" w:rsidRPr="00D94202">
        <w:rPr>
          <w:rFonts w:ascii="Arial" w:hAnsi="Arial" w:cs="Arial"/>
          <w:sz w:val="24"/>
          <w:szCs w:val="24"/>
          <w:lang w:val="et-EE"/>
        </w:rPr>
        <w:t>)</w:t>
      </w:r>
      <w:r w:rsidR="00D94202">
        <w:rPr>
          <w:rFonts w:ascii="Arial" w:hAnsi="Arial" w:cs="Arial"/>
          <w:sz w:val="24"/>
          <w:szCs w:val="24"/>
          <w:lang w:val="et-EE"/>
        </w:rPr>
        <w:t xml:space="preserve">, </w:t>
      </w:r>
      <w:r w:rsidR="00C4080B" w:rsidRPr="00A32208">
        <w:rPr>
          <w:rFonts w:ascii="Arial" w:hAnsi="Arial" w:cs="Arial"/>
          <w:b/>
          <w:bCs/>
          <w:sz w:val="24"/>
          <w:szCs w:val="24"/>
          <w:lang w:val="et-EE"/>
        </w:rPr>
        <w:t>toidu ja jookide</w:t>
      </w:r>
      <w:r w:rsidR="00FC78A9" w:rsidRPr="00A32208">
        <w:rPr>
          <w:rFonts w:ascii="Arial" w:hAnsi="Arial" w:cs="Arial"/>
          <w:b/>
          <w:bCs/>
          <w:sz w:val="24"/>
          <w:szCs w:val="24"/>
          <w:lang w:val="et-EE"/>
        </w:rPr>
        <w:t xml:space="preserve"> </w:t>
      </w:r>
      <w:r w:rsidR="00C4080B" w:rsidRPr="00A32208">
        <w:rPr>
          <w:rFonts w:ascii="Arial" w:hAnsi="Arial" w:cs="Arial"/>
          <w:b/>
          <w:bCs/>
          <w:sz w:val="24"/>
          <w:szCs w:val="24"/>
          <w:lang w:val="et-EE"/>
        </w:rPr>
        <w:t>turustamine ja reklaamimine</w:t>
      </w:r>
      <w:r w:rsidR="00FC78A9">
        <w:rPr>
          <w:rFonts w:ascii="Arial" w:hAnsi="Arial" w:cs="Arial"/>
          <w:sz w:val="24"/>
          <w:szCs w:val="24"/>
          <w:lang w:val="et-EE"/>
        </w:rPr>
        <w:t xml:space="preserve"> </w:t>
      </w:r>
      <w:r w:rsidR="00FC78A9" w:rsidRPr="00FC78A9">
        <w:rPr>
          <w:rFonts w:ascii="Arial" w:hAnsi="Arial" w:cs="Arial"/>
          <w:sz w:val="24"/>
          <w:szCs w:val="24"/>
          <w:lang w:val="et-EE"/>
        </w:rPr>
        <w:t>(raporti lk 46, muudatusettepanek 5</w:t>
      </w:r>
      <w:r w:rsidR="00FC78A9">
        <w:rPr>
          <w:rFonts w:ascii="Arial" w:hAnsi="Arial" w:cs="Arial"/>
          <w:sz w:val="24"/>
          <w:szCs w:val="24"/>
          <w:lang w:val="et-EE"/>
        </w:rPr>
        <w:t>4</w:t>
      </w:r>
      <w:r w:rsidR="00FC78A9" w:rsidRPr="00FC78A9">
        <w:rPr>
          <w:rFonts w:ascii="Arial" w:hAnsi="Arial" w:cs="Arial"/>
          <w:sz w:val="24"/>
          <w:szCs w:val="24"/>
          <w:lang w:val="et-EE"/>
        </w:rPr>
        <w:t>)</w:t>
      </w:r>
      <w:r w:rsidR="001D2F1A">
        <w:rPr>
          <w:rFonts w:ascii="Arial" w:hAnsi="Arial" w:cs="Arial"/>
          <w:sz w:val="24"/>
          <w:szCs w:val="24"/>
          <w:lang w:val="et-EE"/>
        </w:rPr>
        <w:t xml:space="preserve"> ning </w:t>
      </w:r>
      <w:r w:rsidR="001D2F1A" w:rsidRPr="00A32208">
        <w:rPr>
          <w:rFonts w:ascii="Arial" w:hAnsi="Arial" w:cs="Arial"/>
          <w:b/>
          <w:bCs/>
          <w:sz w:val="24"/>
          <w:szCs w:val="24"/>
          <w:lang w:val="et-EE"/>
        </w:rPr>
        <w:t>energeetika</w:t>
      </w:r>
      <w:r w:rsidR="00E1660C">
        <w:rPr>
          <w:rFonts w:ascii="Arial" w:hAnsi="Arial" w:cs="Arial"/>
          <w:sz w:val="24"/>
          <w:szCs w:val="24"/>
          <w:lang w:val="et-EE"/>
        </w:rPr>
        <w:t xml:space="preserve"> (</w:t>
      </w:r>
      <w:r w:rsidR="00E1660C" w:rsidRPr="00E1660C">
        <w:rPr>
          <w:rFonts w:ascii="Arial" w:hAnsi="Arial" w:cs="Arial"/>
          <w:sz w:val="24"/>
          <w:szCs w:val="24"/>
          <w:lang w:val="et-EE"/>
        </w:rPr>
        <w:t>raporti lk 4</w:t>
      </w:r>
      <w:r w:rsidR="00E1660C">
        <w:rPr>
          <w:rFonts w:ascii="Arial" w:hAnsi="Arial" w:cs="Arial"/>
          <w:sz w:val="24"/>
          <w:szCs w:val="24"/>
          <w:lang w:val="et-EE"/>
        </w:rPr>
        <w:t>7</w:t>
      </w:r>
      <w:r w:rsidR="00E1660C" w:rsidRPr="00E1660C">
        <w:rPr>
          <w:rFonts w:ascii="Arial" w:hAnsi="Arial" w:cs="Arial"/>
          <w:sz w:val="24"/>
          <w:szCs w:val="24"/>
          <w:lang w:val="et-EE"/>
        </w:rPr>
        <w:t>, muudatusettepanek 5</w:t>
      </w:r>
      <w:r w:rsidR="00E1660C">
        <w:rPr>
          <w:rFonts w:ascii="Arial" w:hAnsi="Arial" w:cs="Arial"/>
          <w:sz w:val="24"/>
          <w:szCs w:val="24"/>
          <w:lang w:val="et-EE"/>
        </w:rPr>
        <w:t>5</w:t>
      </w:r>
      <w:r w:rsidR="00E1660C" w:rsidRPr="00E1660C">
        <w:rPr>
          <w:rFonts w:ascii="Arial" w:hAnsi="Arial" w:cs="Arial"/>
          <w:sz w:val="24"/>
          <w:szCs w:val="24"/>
          <w:lang w:val="et-EE"/>
        </w:rPr>
        <w:t>)</w:t>
      </w:r>
      <w:r w:rsidR="00E1660C">
        <w:rPr>
          <w:rFonts w:ascii="Arial" w:hAnsi="Arial" w:cs="Arial"/>
          <w:sz w:val="24"/>
          <w:szCs w:val="24"/>
          <w:lang w:val="et-EE"/>
        </w:rPr>
        <w:t>.</w:t>
      </w:r>
    </w:p>
    <w:p w14:paraId="290D9423" w14:textId="6EF52B80" w:rsidR="00215DDE" w:rsidRDefault="00256532" w:rsidP="00256532">
      <w:pPr>
        <w:spacing w:before="120" w:after="0" w:line="240" w:lineRule="auto"/>
        <w:jc w:val="both"/>
        <w:rPr>
          <w:rFonts w:ascii="Arial" w:hAnsi="Arial" w:cs="Arial"/>
          <w:b/>
          <w:bCs/>
          <w:sz w:val="24"/>
          <w:szCs w:val="24"/>
          <w:u w:val="single"/>
          <w:lang w:val="et-EE"/>
        </w:rPr>
      </w:pPr>
      <w:r w:rsidRPr="00034C59">
        <w:rPr>
          <w:rFonts w:ascii="Arial" w:hAnsi="Arial" w:cs="Arial"/>
          <w:b/>
          <w:bCs/>
          <w:sz w:val="24"/>
          <w:szCs w:val="24"/>
          <w:u w:val="single"/>
          <w:lang w:val="et-EE"/>
        </w:rPr>
        <w:t>Kaubanduskoja seisukoht</w:t>
      </w:r>
      <w:r>
        <w:rPr>
          <w:rFonts w:ascii="Arial" w:hAnsi="Arial" w:cs="Arial"/>
          <w:b/>
          <w:bCs/>
          <w:sz w:val="24"/>
          <w:szCs w:val="24"/>
          <w:u w:val="single"/>
          <w:lang w:val="et-EE"/>
        </w:rPr>
        <w:t>:</w:t>
      </w:r>
    </w:p>
    <w:p w14:paraId="19BFC0FA" w14:textId="77777777" w:rsidR="00CC2811" w:rsidRDefault="00CA51D6" w:rsidP="00CC2811">
      <w:pPr>
        <w:pStyle w:val="Loendilik"/>
        <w:numPr>
          <w:ilvl w:val="0"/>
          <w:numId w:val="20"/>
        </w:numPr>
        <w:spacing w:after="0" w:line="240" w:lineRule="auto"/>
        <w:jc w:val="both"/>
        <w:rPr>
          <w:rFonts w:ascii="Arial" w:hAnsi="Arial" w:cs="Arial"/>
          <w:b/>
          <w:bCs/>
          <w:sz w:val="24"/>
          <w:szCs w:val="24"/>
          <w:lang w:val="et-EE"/>
        </w:rPr>
      </w:pPr>
      <w:r w:rsidRPr="00CC2811">
        <w:rPr>
          <w:rFonts w:ascii="Arial" w:hAnsi="Arial" w:cs="Arial"/>
          <w:b/>
          <w:bCs/>
          <w:sz w:val="24"/>
          <w:szCs w:val="24"/>
          <w:lang w:val="et-EE"/>
        </w:rPr>
        <w:t>Kaubanduskoda ei toeta Euroopa Parlamendi muudatusettepanekuid. Peamise kitsaskohana näeme seda, et tegevusala</w:t>
      </w:r>
      <w:r w:rsidR="001F5A82" w:rsidRPr="00CC2811">
        <w:rPr>
          <w:rFonts w:ascii="Arial" w:hAnsi="Arial" w:cs="Arial"/>
          <w:b/>
          <w:bCs/>
          <w:sz w:val="24"/>
          <w:szCs w:val="24"/>
          <w:lang w:val="et-EE"/>
        </w:rPr>
        <w:t xml:space="preserve">de lisandumisel </w:t>
      </w:r>
      <w:r w:rsidR="00CF2107" w:rsidRPr="00CC2811">
        <w:rPr>
          <w:rFonts w:ascii="Arial" w:hAnsi="Arial" w:cs="Arial"/>
          <w:b/>
          <w:bCs/>
          <w:sz w:val="24"/>
          <w:szCs w:val="24"/>
          <w:lang w:val="et-EE"/>
        </w:rPr>
        <w:t>võivad ettevõtted, kellele hakkab direktiiv kohalduma,</w:t>
      </w:r>
      <w:r w:rsidR="001F5A82" w:rsidRPr="00CC2811">
        <w:rPr>
          <w:rFonts w:ascii="Arial" w:hAnsi="Arial" w:cs="Arial"/>
          <w:b/>
          <w:bCs/>
          <w:sz w:val="24"/>
          <w:szCs w:val="24"/>
          <w:lang w:val="et-EE"/>
        </w:rPr>
        <w:t xml:space="preserve"> nõuda sarnaste kohustuste täitmist ka oma </w:t>
      </w:r>
      <w:r w:rsidR="00E9039B" w:rsidRPr="00CC2811">
        <w:rPr>
          <w:rFonts w:ascii="Arial" w:hAnsi="Arial" w:cs="Arial"/>
          <w:b/>
          <w:bCs/>
          <w:sz w:val="24"/>
          <w:szCs w:val="24"/>
          <w:lang w:val="et-EE"/>
        </w:rPr>
        <w:t>tegevusahelasse kuuluvatelt väiksematelt ettevõtetelt.</w:t>
      </w:r>
    </w:p>
    <w:p w14:paraId="086BF63B" w14:textId="4E1E1E70" w:rsidR="005D7F6F" w:rsidRDefault="00E9039B" w:rsidP="00CC2811">
      <w:pPr>
        <w:pStyle w:val="Loendilik"/>
        <w:numPr>
          <w:ilvl w:val="0"/>
          <w:numId w:val="20"/>
        </w:numPr>
        <w:spacing w:after="0" w:line="240" w:lineRule="auto"/>
        <w:jc w:val="both"/>
        <w:rPr>
          <w:rFonts w:ascii="Arial" w:hAnsi="Arial" w:cs="Arial"/>
          <w:b/>
          <w:bCs/>
          <w:sz w:val="24"/>
          <w:szCs w:val="24"/>
          <w:lang w:val="et-EE"/>
        </w:rPr>
      </w:pPr>
      <w:r w:rsidRPr="00CC2811">
        <w:rPr>
          <w:rFonts w:ascii="Arial" w:hAnsi="Arial" w:cs="Arial"/>
          <w:b/>
          <w:bCs/>
          <w:sz w:val="24"/>
          <w:szCs w:val="24"/>
          <w:lang w:val="et-EE"/>
        </w:rPr>
        <w:t>Esmalt võiks direktiivi kohaldada üksnes nendele tegevusaladele, mis sisaldusid Euroopa Komisjoni esialgses ettepanekus ning kui direktiiv</w:t>
      </w:r>
      <w:r w:rsidR="007A6384" w:rsidRPr="00CC2811">
        <w:rPr>
          <w:rFonts w:ascii="Arial" w:hAnsi="Arial" w:cs="Arial"/>
          <w:b/>
          <w:bCs/>
          <w:sz w:val="24"/>
          <w:szCs w:val="24"/>
          <w:lang w:val="et-EE"/>
        </w:rPr>
        <w:t xml:space="preserve"> kohaldamine on praktikas edukas, siis seejärel võiks kaaluda täiendavate tegevusalade lisamist kõrge riskiga sektorite loetel</w:t>
      </w:r>
      <w:r w:rsidR="00E65DCA" w:rsidRPr="00CC2811">
        <w:rPr>
          <w:rFonts w:ascii="Arial" w:hAnsi="Arial" w:cs="Arial"/>
          <w:b/>
          <w:bCs/>
          <w:sz w:val="24"/>
          <w:szCs w:val="24"/>
          <w:lang w:val="et-EE"/>
        </w:rPr>
        <w:t>lu.</w:t>
      </w:r>
    </w:p>
    <w:p w14:paraId="6E49A266" w14:textId="1E06DD7E" w:rsidR="00256532" w:rsidRPr="00CC2811" w:rsidRDefault="00B6779C" w:rsidP="00CC2811">
      <w:pPr>
        <w:pStyle w:val="Loendilik"/>
        <w:numPr>
          <w:ilvl w:val="0"/>
          <w:numId w:val="20"/>
        </w:numPr>
        <w:spacing w:after="0" w:line="240" w:lineRule="auto"/>
        <w:jc w:val="both"/>
        <w:rPr>
          <w:rFonts w:ascii="Arial" w:hAnsi="Arial" w:cs="Arial"/>
          <w:b/>
          <w:bCs/>
          <w:sz w:val="24"/>
          <w:szCs w:val="24"/>
          <w:lang w:val="et-EE"/>
        </w:rPr>
      </w:pPr>
      <w:r w:rsidRPr="00CC2811">
        <w:rPr>
          <w:rFonts w:ascii="Arial" w:hAnsi="Arial" w:cs="Arial"/>
          <w:b/>
          <w:bCs/>
          <w:sz w:val="24"/>
          <w:szCs w:val="24"/>
          <w:lang w:val="et-EE"/>
        </w:rPr>
        <w:t>Soovi korral võivad ettevõtted</w:t>
      </w:r>
      <w:r w:rsidR="00BA5243" w:rsidRPr="00CC2811">
        <w:rPr>
          <w:rFonts w:ascii="Arial" w:hAnsi="Arial" w:cs="Arial"/>
          <w:b/>
          <w:bCs/>
          <w:sz w:val="24"/>
          <w:szCs w:val="24"/>
          <w:lang w:val="et-EE"/>
        </w:rPr>
        <w:t xml:space="preserve"> ka vabatahtlikult hakata direktiivi kohaldama</w:t>
      </w:r>
      <w:r w:rsidR="00807733" w:rsidRPr="00CC2811">
        <w:rPr>
          <w:rFonts w:ascii="Arial" w:hAnsi="Arial" w:cs="Arial"/>
          <w:b/>
          <w:bCs/>
          <w:sz w:val="24"/>
          <w:szCs w:val="24"/>
          <w:lang w:val="et-EE"/>
        </w:rPr>
        <w:t xml:space="preserve">, kui nad näevad selles praktilist kasu. </w:t>
      </w:r>
      <w:r w:rsidR="0050266D" w:rsidRPr="00CC2811">
        <w:rPr>
          <w:rFonts w:ascii="Arial" w:hAnsi="Arial" w:cs="Arial"/>
          <w:b/>
          <w:bCs/>
          <w:sz w:val="24"/>
          <w:szCs w:val="24"/>
          <w:lang w:val="et-EE"/>
        </w:rPr>
        <w:t>Kõik nõuded ei pea ilmtingimata tulenema direktiivist.</w:t>
      </w:r>
    </w:p>
    <w:p w14:paraId="2144418A" w14:textId="77777777" w:rsidR="00F170E3" w:rsidRPr="0061126C" w:rsidRDefault="00F170E3" w:rsidP="0096544C">
      <w:pPr>
        <w:spacing w:before="120" w:after="120" w:line="240" w:lineRule="auto"/>
        <w:jc w:val="both"/>
        <w:rPr>
          <w:rFonts w:ascii="Arial" w:hAnsi="Arial" w:cs="Arial"/>
          <w:sz w:val="24"/>
          <w:szCs w:val="24"/>
          <w:lang w:val="et-EE"/>
        </w:rPr>
      </w:pPr>
    </w:p>
    <w:p w14:paraId="223D7779" w14:textId="5CF01E9E" w:rsidR="00F170E3" w:rsidRPr="00DF7BD8" w:rsidRDefault="00BF60AE" w:rsidP="0010351E">
      <w:pPr>
        <w:spacing w:after="0" w:line="240" w:lineRule="auto"/>
        <w:jc w:val="both"/>
        <w:rPr>
          <w:rFonts w:ascii="Arial" w:hAnsi="Arial" w:cs="Arial"/>
          <w:b/>
          <w:bCs/>
          <w:sz w:val="24"/>
          <w:szCs w:val="24"/>
          <w:lang w:val="et-EE"/>
        </w:rPr>
      </w:pPr>
      <w:r>
        <w:rPr>
          <w:rFonts w:ascii="Arial" w:hAnsi="Arial" w:cs="Arial"/>
          <w:b/>
          <w:bCs/>
          <w:sz w:val="24"/>
          <w:szCs w:val="24"/>
          <w:lang w:val="et-EE"/>
        </w:rPr>
        <w:t>3</w:t>
      </w:r>
      <w:r w:rsidR="00F170E3" w:rsidRPr="00DF7BD8">
        <w:rPr>
          <w:rFonts w:ascii="Arial" w:hAnsi="Arial" w:cs="Arial"/>
          <w:b/>
          <w:bCs/>
          <w:sz w:val="24"/>
          <w:szCs w:val="24"/>
          <w:lang w:val="et-EE"/>
        </w:rPr>
        <w:t xml:space="preserve">. </w:t>
      </w:r>
      <w:r w:rsidR="00DF7BD8" w:rsidRPr="00DF7BD8">
        <w:rPr>
          <w:rFonts w:ascii="Arial" w:hAnsi="Arial" w:cs="Arial"/>
          <w:b/>
          <w:bCs/>
          <w:sz w:val="24"/>
          <w:szCs w:val="24"/>
          <w:lang w:val="et-EE"/>
        </w:rPr>
        <w:t>Hoolsuskohustuse kohaldamine väärtusahelale või tegevusahelale (direktiivi artikkel 3 punkt g)</w:t>
      </w:r>
    </w:p>
    <w:p w14:paraId="35473012" w14:textId="5D702E81" w:rsidR="00D33297" w:rsidRDefault="00795493" w:rsidP="0010351E">
      <w:pPr>
        <w:spacing w:after="0" w:line="240" w:lineRule="auto"/>
        <w:jc w:val="both"/>
        <w:rPr>
          <w:rFonts w:ascii="Arial" w:hAnsi="Arial" w:cs="Arial"/>
          <w:sz w:val="24"/>
          <w:szCs w:val="24"/>
          <w:lang w:val="et-EE"/>
        </w:rPr>
      </w:pPr>
      <w:r w:rsidRPr="00795493">
        <w:rPr>
          <w:rFonts w:ascii="Arial" w:hAnsi="Arial" w:cs="Arial"/>
          <w:sz w:val="24"/>
          <w:szCs w:val="24"/>
          <w:lang w:val="et-EE"/>
        </w:rPr>
        <w:t>Üldise lähenemisviisi teksti artikli 3 punktis g on algne väärtusahela (</w:t>
      </w:r>
      <w:r w:rsidRPr="00390332">
        <w:rPr>
          <w:rFonts w:ascii="Arial" w:hAnsi="Arial" w:cs="Arial"/>
          <w:i/>
          <w:iCs/>
          <w:sz w:val="24"/>
          <w:szCs w:val="24"/>
          <w:lang w:val="et-EE"/>
        </w:rPr>
        <w:t>value chain</w:t>
      </w:r>
      <w:r w:rsidRPr="00795493">
        <w:rPr>
          <w:rFonts w:ascii="Arial" w:hAnsi="Arial" w:cs="Arial"/>
          <w:sz w:val="24"/>
          <w:szCs w:val="24"/>
          <w:lang w:val="et-EE"/>
        </w:rPr>
        <w:t>) määratlus asendatud tegevusahela (</w:t>
      </w:r>
      <w:r w:rsidRPr="00390332">
        <w:rPr>
          <w:rFonts w:ascii="Arial" w:hAnsi="Arial" w:cs="Arial"/>
          <w:i/>
          <w:iCs/>
          <w:sz w:val="24"/>
          <w:szCs w:val="24"/>
          <w:lang w:val="et-EE"/>
        </w:rPr>
        <w:t>chain of activities</w:t>
      </w:r>
      <w:r w:rsidRPr="00795493">
        <w:rPr>
          <w:rFonts w:ascii="Arial" w:hAnsi="Arial" w:cs="Arial"/>
          <w:sz w:val="24"/>
          <w:szCs w:val="24"/>
          <w:lang w:val="et-EE"/>
        </w:rPr>
        <w:t>) mõistega (dokumendi lk 72-73). Tegevusahel</w:t>
      </w:r>
      <w:r w:rsidR="005A748F">
        <w:rPr>
          <w:rFonts w:ascii="Arial" w:hAnsi="Arial" w:cs="Arial"/>
          <w:sz w:val="24"/>
          <w:szCs w:val="24"/>
          <w:lang w:val="et-EE"/>
        </w:rPr>
        <w:t xml:space="preserve"> on </w:t>
      </w:r>
      <w:r w:rsidR="00D33297" w:rsidRPr="00D33297">
        <w:rPr>
          <w:rFonts w:ascii="Arial" w:hAnsi="Arial" w:cs="Arial"/>
          <w:sz w:val="24"/>
          <w:szCs w:val="24"/>
          <w:lang w:val="et-EE"/>
        </w:rPr>
        <w:t>äriühingu tegevusahela eelneva etapi äripartnerite tegevus, mis on seotud kaupade tootmise või teenuste osutamisega äriühingu poolt, sealhulgas tooraine, toodete või tooteosade kavandamise, kaevandamise, valmistamise, transpordi, ladustamise ja tarnimise ning toote või teenuse arendamisega, ning</w:t>
      </w:r>
      <w:r w:rsidR="00EC1A09">
        <w:rPr>
          <w:rFonts w:ascii="Arial" w:hAnsi="Arial" w:cs="Arial"/>
          <w:sz w:val="24"/>
          <w:szCs w:val="24"/>
          <w:lang w:val="et-EE"/>
        </w:rPr>
        <w:t xml:space="preserve"> </w:t>
      </w:r>
      <w:r w:rsidR="009B2419" w:rsidRPr="009B2419">
        <w:rPr>
          <w:rFonts w:ascii="Arial" w:hAnsi="Arial" w:cs="Arial"/>
          <w:sz w:val="24"/>
          <w:szCs w:val="24"/>
          <w:lang w:val="et-EE"/>
        </w:rPr>
        <w:t>äriühingu tegevusahela järgmise etapi äripartnerite tegevus, mis on seotud toote turustamise, transpordi, ladustamise ja kõrvaldamisega, sealhulgas lammutamise, ringlussevõtu, kompostimise või prügilasse ladestamisega, kui äripartnerid tegelevad sellise tegevusega äriühingu jaoks või tema nimel, välja arvatud toote kasutuselt kõrvaldamine tarbijate poolt ning sellise toote turustamine, transport, ladustamine ja kõrvaldamine, mille suhtes kohaldatakse Euroopa Parlamendi ja nõukogu määruse (EL) 2021/821 kohast ekspordikontrolli või relvade, laskemoona või sõjamaterjalidega seotud ekspordikontrolli pärast toote ekspordiks loa saamist.</w:t>
      </w:r>
    </w:p>
    <w:p w14:paraId="42A5F643" w14:textId="5BC290CA" w:rsidR="00EC1A09" w:rsidRDefault="004E062E" w:rsidP="00A50A08">
      <w:pPr>
        <w:spacing w:before="120" w:after="0" w:line="240" w:lineRule="auto"/>
        <w:jc w:val="both"/>
        <w:rPr>
          <w:rFonts w:ascii="Arial" w:hAnsi="Arial" w:cs="Arial"/>
          <w:sz w:val="24"/>
          <w:szCs w:val="24"/>
          <w:lang w:val="et-EE"/>
        </w:rPr>
      </w:pPr>
      <w:r w:rsidRPr="004E062E">
        <w:rPr>
          <w:rFonts w:ascii="Arial" w:hAnsi="Arial" w:cs="Arial"/>
          <w:sz w:val="24"/>
          <w:szCs w:val="24"/>
          <w:lang w:val="et-EE"/>
        </w:rPr>
        <w:t xml:space="preserve">Euroopa Parlamendi mustandraportis on tehtud ettepanek </w:t>
      </w:r>
      <w:r>
        <w:rPr>
          <w:rFonts w:ascii="Arial" w:hAnsi="Arial" w:cs="Arial"/>
          <w:sz w:val="24"/>
          <w:szCs w:val="24"/>
          <w:lang w:val="et-EE"/>
        </w:rPr>
        <w:t xml:space="preserve">jääda mõiste </w:t>
      </w:r>
      <w:r w:rsidRPr="004E062E">
        <w:rPr>
          <w:rFonts w:ascii="Arial" w:hAnsi="Arial" w:cs="Arial"/>
          <w:sz w:val="24"/>
          <w:szCs w:val="24"/>
          <w:lang w:val="et-EE"/>
        </w:rPr>
        <w:t>„väärtusahel“</w:t>
      </w:r>
      <w:r>
        <w:rPr>
          <w:rFonts w:ascii="Arial" w:hAnsi="Arial" w:cs="Arial"/>
          <w:sz w:val="24"/>
          <w:szCs w:val="24"/>
          <w:lang w:val="et-EE"/>
        </w:rPr>
        <w:t xml:space="preserve"> juurde ning sõnastada see järgmiselt: </w:t>
      </w:r>
      <w:r w:rsidR="002078B5">
        <w:rPr>
          <w:rFonts w:ascii="Arial" w:hAnsi="Arial" w:cs="Arial"/>
          <w:sz w:val="24"/>
          <w:szCs w:val="24"/>
          <w:lang w:val="et-EE"/>
        </w:rPr>
        <w:t xml:space="preserve">„Väärtusahel on </w:t>
      </w:r>
      <w:r w:rsidRPr="004E062E">
        <w:rPr>
          <w:rFonts w:ascii="Arial" w:hAnsi="Arial" w:cs="Arial"/>
          <w:sz w:val="24"/>
          <w:szCs w:val="24"/>
          <w:lang w:val="et-EE"/>
        </w:rPr>
        <w:t>kõik eelneva ja</w:t>
      </w:r>
      <w:r w:rsidR="00DB7632">
        <w:rPr>
          <w:rFonts w:ascii="Arial" w:hAnsi="Arial" w:cs="Arial"/>
          <w:sz w:val="24"/>
          <w:szCs w:val="24"/>
          <w:lang w:val="et-EE"/>
        </w:rPr>
        <w:t xml:space="preserve"> </w:t>
      </w:r>
      <w:r w:rsidRPr="004E062E">
        <w:rPr>
          <w:rFonts w:ascii="Arial" w:hAnsi="Arial" w:cs="Arial"/>
          <w:sz w:val="24"/>
          <w:szCs w:val="24"/>
          <w:lang w:val="et-EE"/>
        </w:rPr>
        <w:t>järgmise etapi tegevused ja toimingud,</w:t>
      </w:r>
      <w:r w:rsidR="00DB7632">
        <w:rPr>
          <w:rFonts w:ascii="Arial" w:hAnsi="Arial" w:cs="Arial"/>
          <w:sz w:val="24"/>
          <w:szCs w:val="24"/>
          <w:lang w:val="et-EE"/>
        </w:rPr>
        <w:t xml:space="preserve"> </w:t>
      </w:r>
      <w:r w:rsidRPr="004E062E">
        <w:rPr>
          <w:rFonts w:ascii="Arial" w:hAnsi="Arial" w:cs="Arial"/>
          <w:sz w:val="24"/>
          <w:szCs w:val="24"/>
          <w:lang w:val="et-EE"/>
        </w:rPr>
        <w:t>sealhulgas turundus ja reklaam, samuti</w:t>
      </w:r>
      <w:r w:rsidR="00DB7632">
        <w:rPr>
          <w:rFonts w:ascii="Arial" w:hAnsi="Arial" w:cs="Arial"/>
          <w:sz w:val="24"/>
          <w:szCs w:val="24"/>
          <w:lang w:val="et-EE"/>
        </w:rPr>
        <w:t xml:space="preserve"> </w:t>
      </w:r>
      <w:r w:rsidRPr="004E062E">
        <w:rPr>
          <w:rFonts w:ascii="Arial" w:hAnsi="Arial" w:cs="Arial"/>
          <w:sz w:val="24"/>
          <w:szCs w:val="24"/>
          <w:lang w:val="et-EE"/>
        </w:rPr>
        <w:t>osalevad üksused, mis on seotud kauba</w:t>
      </w:r>
      <w:r w:rsidR="00DB7632">
        <w:rPr>
          <w:rFonts w:ascii="Arial" w:hAnsi="Arial" w:cs="Arial"/>
          <w:sz w:val="24"/>
          <w:szCs w:val="24"/>
          <w:lang w:val="et-EE"/>
        </w:rPr>
        <w:t xml:space="preserve"> </w:t>
      </w:r>
      <w:r w:rsidRPr="004E062E">
        <w:rPr>
          <w:rFonts w:ascii="Arial" w:hAnsi="Arial" w:cs="Arial"/>
          <w:sz w:val="24"/>
          <w:szCs w:val="24"/>
          <w:lang w:val="et-EE"/>
        </w:rPr>
        <w:t>tootmise ja tarnimise või teenuste</w:t>
      </w:r>
      <w:r w:rsidR="00DB7632">
        <w:rPr>
          <w:rFonts w:ascii="Arial" w:hAnsi="Arial" w:cs="Arial"/>
          <w:sz w:val="24"/>
          <w:szCs w:val="24"/>
          <w:lang w:val="et-EE"/>
        </w:rPr>
        <w:t xml:space="preserve"> </w:t>
      </w:r>
      <w:r w:rsidRPr="004E062E">
        <w:rPr>
          <w:rFonts w:ascii="Arial" w:hAnsi="Arial" w:cs="Arial"/>
          <w:sz w:val="24"/>
          <w:szCs w:val="24"/>
          <w:lang w:val="et-EE"/>
        </w:rPr>
        <w:t xml:space="preserve">osutamisega äriühingu poolt, </w:t>
      </w:r>
      <w:r w:rsidRPr="004E062E">
        <w:rPr>
          <w:rFonts w:ascii="Arial" w:hAnsi="Arial" w:cs="Arial"/>
          <w:sz w:val="24"/>
          <w:szCs w:val="24"/>
          <w:lang w:val="et-EE"/>
        </w:rPr>
        <w:lastRenderedPageBreak/>
        <w:t>sealhulgas</w:t>
      </w:r>
      <w:r w:rsidR="00DB7632">
        <w:rPr>
          <w:rFonts w:ascii="Arial" w:hAnsi="Arial" w:cs="Arial"/>
          <w:sz w:val="24"/>
          <w:szCs w:val="24"/>
          <w:lang w:val="et-EE"/>
        </w:rPr>
        <w:t xml:space="preserve"> </w:t>
      </w:r>
      <w:r w:rsidRPr="004E062E">
        <w:rPr>
          <w:rFonts w:ascii="Arial" w:hAnsi="Arial" w:cs="Arial"/>
          <w:sz w:val="24"/>
          <w:szCs w:val="24"/>
          <w:lang w:val="et-EE"/>
        </w:rPr>
        <w:t>toote või teenuse arendamine ning toote</w:t>
      </w:r>
      <w:r w:rsidR="00DB7632">
        <w:rPr>
          <w:rFonts w:ascii="Arial" w:hAnsi="Arial" w:cs="Arial"/>
          <w:sz w:val="24"/>
          <w:szCs w:val="24"/>
          <w:lang w:val="et-EE"/>
        </w:rPr>
        <w:t xml:space="preserve"> </w:t>
      </w:r>
      <w:r w:rsidRPr="004E062E">
        <w:rPr>
          <w:rFonts w:ascii="Arial" w:hAnsi="Arial" w:cs="Arial"/>
          <w:sz w:val="24"/>
          <w:szCs w:val="24"/>
          <w:lang w:val="et-EE"/>
        </w:rPr>
        <w:t>kasutamine ja kõrvaldamine</w:t>
      </w:r>
      <w:r w:rsidR="002078B5">
        <w:rPr>
          <w:rFonts w:ascii="Arial" w:hAnsi="Arial" w:cs="Arial"/>
          <w:sz w:val="24"/>
          <w:szCs w:val="24"/>
          <w:lang w:val="et-EE"/>
        </w:rPr>
        <w:t>“</w:t>
      </w:r>
      <w:r w:rsidR="00DB7632">
        <w:rPr>
          <w:rFonts w:ascii="Arial" w:hAnsi="Arial" w:cs="Arial"/>
          <w:sz w:val="24"/>
          <w:szCs w:val="24"/>
          <w:lang w:val="et-EE"/>
        </w:rPr>
        <w:t xml:space="preserve"> (</w:t>
      </w:r>
      <w:r w:rsidR="00DB7632" w:rsidRPr="00DB7632">
        <w:rPr>
          <w:rFonts w:ascii="Arial" w:hAnsi="Arial" w:cs="Arial"/>
          <w:sz w:val="24"/>
          <w:szCs w:val="24"/>
          <w:lang w:val="et-EE"/>
        </w:rPr>
        <w:t xml:space="preserve">raporti lk </w:t>
      </w:r>
      <w:r w:rsidR="00A50A08">
        <w:rPr>
          <w:rFonts w:ascii="Arial" w:hAnsi="Arial" w:cs="Arial"/>
          <w:sz w:val="24"/>
          <w:szCs w:val="24"/>
          <w:lang w:val="et-EE"/>
        </w:rPr>
        <w:t>56</w:t>
      </w:r>
      <w:r w:rsidR="00DB7632" w:rsidRPr="00DB7632">
        <w:rPr>
          <w:rFonts w:ascii="Arial" w:hAnsi="Arial" w:cs="Arial"/>
          <w:sz w:val="24"/>
          <w:szCs w:val="24"/>
          <w:lang w:val="et-EE"/>
        </w:rPr>
        <w:t xml:space="preserve">, muudatusettepanek </w:t>
      </w:r>
      <w:r w:rsidR="00A50A08">
        <w:rPr>
          <w:rFonts w:ascii="Arial" w:hAnsi="Arial" w:cs="Arial"/>
          <w:sz w:val="24"/>
          <w:szCs w:val="24"/>
          <w:lang w:val="et-EE"/>
        </w:rPr>
        <w:t>74</w:t>
      </w:r>
      <w:r w:rsidR="00DB7632" w:rsidRPr="00DB7632">
        <w:rPr>
          <w:rFonts w:ascii="Arial" w:hAnsi="Arial" w:cs="Arial"/>
          <w:sz w:val="24"/>
          <w:szCs w:val="24"/>
          <w:lang w:val="et-EE"/>
        </w:rPr>
        <w:t>)</w:t>
      </w:r>
      <w:r w:rsidR="00A50A08">
        <w:rPr>
          <w:rFonts w:ascii="Arial" w:hAnsi="Arial" w:cs="Arial"/>
          <w:sz w:val="24"/>
          <w:szCs w:val="24"/>
          <w:lang w:val="et-EE"/>
        </w:rPr>
        <w:t>.</w:t>
      </w:r>
    </w:p>
    <w:p w14:paraId="73117912" w14:textId="29ABE981" w:rsidR="00D33297" w:rsidRPr="00A50A08" w:rsidRDefault="00A50A08" w:rsidP="00A50A08">
      <w:pPr>
        <w:spacing w:before="120" w:after="0" w:line="240" w:lineRule="auto"/>
        <w:jc w:val="both"/>
        <w:rPr>
          <w:rFonts w:ascii="Arial" w:hAnsi="Arial" w:cs="Arial"/>
          <w:b/>
          <w:bCs/>
          <w:sz w:val="24"/>
          <w:szCs w:val="24"/>
          <w:u w:val="single"/>
          <w:lang w:val="et-EE"/>
        </w:rPr>
      </w:pPr>
      <w:r w:rsidRPr="00A50A08">
        <w:rPr>
          <w:rFonts w:ascii="Arial" w:hAnsi="Arial" w:cs="Arial"/>
          <w:b/>
          <w:bCs/>
          <w:sz w:val="24"/>
          <w:szCs w:val="24"/>
          <w:u w:val="single"/>
          <w:lang w:val="et-EE"/>
        </w:rPr>
        <w:t>Kaubanduskoja seisukoht:</w:t>
      </w:r>
    </w:p>
    <w:p w14:paraId="34DDA3A9" w14:textId="74B42C51" w:rsidR="00BD504C" w:rsidRDefault="00802DBA" w:rsidP="00BD504C">
      <w:pPr>
        <w:pStyle w:val="Loendilik"/>
        <w:numPr>
          <w:ilvl w:val="0"/>
          <w:numId w:val="19"/>
        </w:numPr>
        <w:spacing w:after="0" w:line="240" w:lineRule="auto"/>
        <w:jc w:val="both"/>
        <w:rPr>
          <w:rFonts w:ascii="Arial" w:hAnsi="Arial" w:cs="Arial"/>
          <w:b/>
          <w:bCs/>
          <w:sz w:val="24"/>
          <w:szCs w:val="24"/>
          <w:lang w:val="et-EE"/>
        </w:rPr>
      </w:pPr>
      <w:r w:rsidRPr="00BD504C">
        <w:rPr>
          <w:rFonts w:ascii="Arial" w:hAnsi="Arial" w:cs="Arial"/>
          <w:b/>
          <w:bCs/>
          <w:sz w:val="24"/>
          <w:szCs w:val="24"/>
          <w:lang w:val="et-EE"/>
        </w:rPr>
        <w:t xml:space="preserve">Kui valida on </w:t>
      </w:r>
      <w:r w:rsidR="00BC7635" w:rsidRPr="00BD504C">
        <w:rPr>
          <w:rFonts w:ascii="Arial" w:hAnsi="Arial" w:cs="Arial"/>
          <w:b/>
          <w:bCs/>
          <w:sz w:val="24"/>
          <w:szCs w:val="24"/>
          <w:lang w:val="et-EE"/>
        </w:rPr>
        <w:t xml:space="preserve">Euroopa Komisjoni ettepaneku, </w:t>
      </w:r>
      <w:r w:rsidRPr="00BD504C">
        <w:rPr>
          <w:rFonts w:ascii="Arial" w:hAnsi="Arial" w:cs="Arial"/>
          <w:b/>
          <w:bCs/>
          <w:sz w:val="24"/>
          <w:szCs w:val="24"/>
          <w:lang w:val="et-EE"/>
        </w:rPr>
        <w:t>üldise lähenemisviisi teksti</w:t>
      </w:r>
      <w:r w:rsidR="00BC7635" w:rsidRPr="00BD504C">
        <w:rPr>
          <w:rFonts w:ascii="Arial" w:hAnsi="Arial" w:cs="Arial"/>
          <w:b/>
          <w:bCs/>
          <w:sz w:val="24"/>
          <w:szCs w:val="24"/>
          <w:lang w:val="et-EE"/>
        </w:rPr>
        <w:t xml:space="preserve"> ja Euroopa Parlamendi muudatusettepaneku </w:t>
      </w:r>
      <w:r w:rsidR="0012020F" w:rsidRPr="00BD504C">
        <w:rPr>
          <w:rFonts w:ascii="Arial" w:hAnsi="Arial" w:cs="Arial"/>
          <w:b/>
          <w:bCs/>
          <w:sz w:val="24"/>
          <w:szCs w:val="24"/>
          <w:lang w:val="et-EE"/>
        </w:rPr>
        <w:t xml:space="preserve">sõnastuse </w:t>
      </w:r>
      <w:r w:rsidRPr="00BD504C">
        <w:rPr>
          <w:rFonts w:ascii="Arial" w:hAnsi="Arial" w:cs="Arial"/>
          <w:b/>
          <w:bCs/>
          <w:sz w:val="24"/>
          <w:szCs w:val="24"/>
          <w:lang w:val="et-EE"/>
        </w:rPr>
        <w:t xml:space="preserve">vahel, siis peame </w:t>
      </w:r>
      <w:r w:rsidR="00BC6551" w:rsidRPr="00BD504C">
        <w:rPr>
          <w:rFonts w:ascii="Arial" w:hAnsi="Arial" w:cs="Arial"/>
          <w:b/>
          <w:bCs/>
          <w:sz w:val="24"/>
          <w:szCs w:val="24"/>
          <w:lang w:val="et-EE"/>
        </w:rPr>
        <w:t xml:space="preserve">kõige </w:t>
      </w:r>
      <w:r w:rsidRPr="00BD504C">
        <w:rPr>
          <w:rFonts w:ascii="Arial" w:hAnsi="Arial" w:cs="Arial"/>
          <w:b/>
          <w:bCs/>
          <w:sz w:val="24"/>
          <w:szCs w:val="24"/>
          <w:lang w:val="et-EE"/>
        </w:rPr>
        <w:t>õnnestunumaks üldise lähenemisviisi teksti</w:t>
      </w:r>
      <w:r w:rsidR="0012020F" w:rsidRPr="00BD504C">
        <w:rPr>
          <w:rFonts w:ascii="Arial" w:hAnsi="Arial" w:cs="Arial"/>
          <w:b/>
          <w:bCs/>
          <w:sz w:val="24"/>
          <w:szCs w:val="24"/>
          <w:lang w:val="et-EE"/>
        </w:rPr>
        <w:t xml:space="preserve"> sõnastust</w:t>
      </w:r>
      <w:r w:rsidRPr="00BD504C">
        <w:rPr>
          <w:rFonts w:ascii="Arial" w:hAnsi="Arial" w:cs="Arial"/>
          <w:b/>
          <w:bCs/>
          <w:sz w:val="24"/>
          <w:szCs w:val="24"/>
          <w:lang w:val="et-EE"/>
        </w:rPr>
        <w:t>.</w:t>
      </w:r>
    </w:p>
    <w:p w14:paraId="28EE8619" w14:textId="1D5077A7" w:rsidR="0096544C" w:rsidRDefault="00802DBA" w:rsidP="00BD504C">
      <w:pPr>
        <w:pStyle w:val="Loendilik"/>
        <w:numPr>
          <w:ilvl w:val="0"/>
          <w:numId w:val="19"/>
        </w:numPr>
        <w:spacing w:after="0" w:line="240" w:lineRule="auto"/>
        <w:jc w:val="both"/>
        <w:rPr>
          <w:rFonts w:ascii="Arial" w:hAnsi="Arial" w:cs="Arial"/>
          <w:b/>
          <w:bCs/>
          <w:sz w:val="24"/>
          <w:szCs w:val="24"/>
          <w:lang w:val="et-EE"/>
        </w:rPr>
      </w:pPr>
      <w:r w:rsidRPr="00BD504C">
        <w:rPr>
          <w:rFonts w:ascii="Arial" w:hAnsi="Arial" w:cs="Arial"/>
          <w:b/>
          <w:bCs/>
          <w:sz w:val="24"/>
          <w:szCs w:val="24"/>
          <w:lang w:val="et-EE"/>
        </w:rPr>
        <w:t>Peame positiivseks, et üldise lähenemis</w:t>
      </w:r>
      <w:r w:rsidR="00AA028B" w:rsidRPr="00BD504C">
        <w:rPr>
          <w:rFonts w:ascii="Arial" w:hAnsi="Arial" w:cs="Arial"/>
          <w:b/>
          <w:bCs/>
          <w:sz w:val="24"/>
          <w:szCs w:val="24"/>
          <w:lang w:val="et-EE"/>
        </w:rPr>
        <w:t>viisi teksti kohaselt ei ol</w:t>
      </w:r>
      <w:r w:rsidR="001070DA" w:rsidRPr="00BD504C">
        <w:rPr>
          <w:rFonts w:ascii="Arial" w:hAnsi="Arial" w:cs="Arial"/>
          <w:b/>
          <w:bCs/>
          <w:sz w:val="24"/>
          <w:szCs w:val="24"/>
          <w:lang w:val="et-EE"/>
        </w:rPr>
        <w:t>e tegevusahela osaks toote kasutuselt kõrvaldamine tarbijate poolt. Samas oleme endiselt seisukohal, et ka tegevusahela mõiste on liiga lai ja üldine ning ei taga ettevõtetele piisavat õigusselgus</w:t>
      </w:r>
      <w:r w:rsidR="00F50392" w:rsidRPr="00BD504C">
        <w:rPr>
          <w:rFonts w:ascii="Arial" w:hAnsi="Arial" w:cs="Arial"/>
          <w:b/>
          <w:bCs/>
          <w:sz w:val="24"/>
          <w:szCs w:val="24"/>
          <w:lang w:val="et-EE"/>
        </w:rPr>
        <w:t xml:space="preserve">t. Muu hulgas valmistab meile endiselt muret, et tegevusahela alla </w:t>
      </w:r>
      <w:r w:rsidR="00915894">
        <w:rPr>
          <w:rFonts w:ascii="Arial" w:hAnsi="Arial" w:cs="Arial"/>
          <w:b/>
          <w:bCs/>
          <w:sz w:val="24"/>
          <w:szCs w:val="24"/>
          <w:lang w:val="et-EE"/>
        </w:rPr>
        <w:t xml:space="preserve">võivad </w:t>
      </w:r>
      <w:r w:rsidR="00F50392" w:rsidRPr="00BD504C">
        <w:rPr>
          <w:rFonts w:ascii="Arial" w:hAnsi="Arial" w:cs="Arial"/>
          <w:b/>
          <w:bCs/>
          <w:sz w:val="24"/>
          <w:szCs w:val="24"/>
          <w:lang w:val="et-EE"/>
        </w:rPr>
        <w:t>kuulu</w:t>
      </w:r>
      <w:r w:rsidR="00915894">
        <w:rPr>
          <w:rFonts w:ascii="Arial" w:hAnsi="Arial" w:cs="Arial"/>
          <w:b/>
          <w:bCs/>
          <w:sz w:val="24"/>
          <w:szCs w:val="24"/>
          <w:lang w:val="et-EE"/>
        </w:rPr>
        <w:t xml:space="preserve">da </w:t>
      </w:r>
      <w:r w:rsidR="00F50392" w:rsidRPr="00BD504C">
        <w:rPr>
          <w:rFonts w:ascii="Arial" w:hAnsi="Arial" w:cs="Arial"/>
          <w:b/>
          <w:bCs/>
          <w:sz w:val="24"/>
          <w:szCs w:val="24"/>
          <w:lang w:val="et-EE"/>
        </w:rPr>
        <w:t xml:space="preserve">ka tegevused, mis on tehtud </w:t>
      </w:r>
      <w:r w:rsidR="00A62846" w:rsidRPr="00BD504C">
        <w:rPr>
          <w:rFonts w:ascii="Arial" w:hAnsi="Arial" w:cs="Arial"/>
          <w:b/>
          <w:bCs/>
          <w:sz w:val="24"/>
          <w:szCs w:val="24"/>
          <w:lang w:val="et-EE"/>
        </w:rPr>
        <w:t>ettevõtte äripartneri äripartneri poolt</w:t>
      </w:r>
      <w:r w:rsidR="00827CFF">
        <w:rPr>
          <w:rFonts w:ascii="Arial" w:hAnsi="Arial" w:cs="Arial"/>
          <w:b/>
          <w:bCs/>
          <w:sz w:val="24"/>
          <w:szCs w:val="24"/>
          <w:lang w:val="et-EE"/>
        </w:rPr>
        <w:t xml:space="preserve"> või vähemalt ei tule see mõ</w:t>
      </w:r>
      <w:r w:rsidR="00466D87">
        <w:rPr>
          <w:rFonts w:ascii="Arial" w:hAnsi="Arial" w:cs="Arial"/>
          <w:b/>
          <w:bCs/>
          <w:sz w:val="24"/>
          <w:szCs w:val="24"/>
          <w:lang w:val="et-EE"/>
        </w:rPr>
        <w:t>is</w:t>
      </w:r>
      <w:r w:rsidR="00827CFF">
        <w:rPr>
          <w:rFonts w:ascii="Arial" w:hAnsi="Arial" w:cs="Arial"/>
          <w:b/>
          <w:bCs/>
          <w:sz w:val="24"/>
          <w:szCs w:val="24"/>
          <w:lang w:val="et-EE"/>
        </w:rPr>
        <w:t>te sõnastusest otseselt välja, et</w:t>
      </w:r>
      <w:r w:rsidR="00466D87" w:rsidRPr="00466D87">
        <w:t xml:space="preserve"> </w:t>
      </w:r>
      <w:r w:rsidR="00466D87" w:rsidRPr="00466D87">
        <w:rPr>
          <w:rFonts w:ascii="Arial" w:hAnsi="Arial" w:cs="Arial"/>
          <w:b/>
          <w:bCs/>
          <w:sz w:val="24"/>
          <w:szCs w:val="24"/>
          <w:lang w:val="et-EE"/>
        </w:rPr>
        <w:t>tegevusahela</w:t>
      </w:r>
      <w:r w:rsidR="0068651A">
        <w:rPr>
          <w:rFonts w:ascii="Arial" w:hAnsi="Arial" w:cs="Arial"/>
          <w:b/>
          <w:bCs/>
          <w:sz w:val="24"/>
          <w:szCs w:val="24"/>
          <w:lang w:val="et-EE"/>
        </w:rPr>
        <w:t xml:space="preserve"> mõiste ei hõlma kaudseid äripartnereid. </w:t>
      </w:r>
      <w:r w:rsidR="00716D9C">
        <w:rPr>
          <w:rFonts w:ascii="Arial" w:hAnsi="Arial" w:cs="Arial"/>
          <w:b/>
          <w:bCs/>
          <w:sz w:val="24"/>
          <w:szCs w:val="24"/>
          <w:lang w:val="et-EE"/>
        </w:rPr>
        <w:t>P</w:t>
      </w:r>
      <w:r w:rsidR="00312CB7" w:rsidRPr="00BD504C">
        <w:rPr>
          <w:rFonts w:ascii="Arial" w:hAnsi="Arial" w:cs="Arial"/>
          <w:b/>
          <w:bCs/>
          <w:sz w:val="24"/>
          <w:szCs w:val="24"/>
          <w:lang w:val="et-EE"/>
        </w:rPr>
        <w:t xml:space="preserve">raktikas on keeruline </w:t>
      </w:r>
      <w:r w:rsidR="00716259">
        <w:rPr>
          <w:rFonts w:ascii="Arial" w:hAnsi="Arial" w:cs="Arial"/>
          <w:b/>
          <w:bCs/>
          <w:sz w:val="24"/>
          <w:szCs w:val="24"/>
          <w:lang w:val="et-EE"/>
        </w:rPr>
        <w:t>täita täies ulatuses direktiivist tulenevat hool</w:t>
      </w:r>
      <w:r w:rsidR="00C00DFA">
        <w:rPr>
          <w:rFonts w:ascii="Arial" w:hAnsi="Arial" w:cs="Arial"/>
          <w:b/>
          <w:bCs/>
          <w:sz w:val="24"/>
          <w:szCs w:val="24"/>
          <w:lang w:val="et-EE"/>
        </w:rPr>
        <w:t>s</w:t>
      </w:r>
      <w:r w:rsidR="00716259">
        <w:rPr>
          <w:rFonts w:ascii="Arial" w:hAnsi="Arial" w:cs="Arial"/>
          <w:b/>
          <w:bCs/>
          <w:sz w:val="24"/>
          <w:szCs w:val="24"/>
          <w:lang w:val="et-EE"/>
        </w:rPr>
        <w:t>uskohu</w:t>
      </w:r>
      <w:r w:rsidR="00C00DFA">
        <w:rPr>
          <w:rFonts w:ascii="Arial" w:hAnsi="Arial" w:cs="Arial"/>
          <w:b/>
          <w:bCs/>
          <w:sz w:val="24"/>
          <w:szCs w:val="24"/>
          <w:lang w:val="et-EE"/>
        </w:rPr>
        <w:t>s</w:t>
      </w:r>
      <w:r w:rsidR="00716259">
        <w:rPr>
          <w:rFonts w:ascii="Arial" w:hAnsi="Arial" w:cs="Arial"/>
          <w:b/>
          <w:bCs/>
          <w:sz w:val="24"/>
          <w:szCs w:val="24"/>
          <w:lang w:val="et-EE"/>
        </w:rPr>
        <w:t xml:space="preserve">tust </w:t>
      </w:r>
      <w:r w:rsidR="00312CB7" w:rsidRPr="00BD504C">
        <w:rPr>
          <w:rFonts w:ascii="Arial" w:hAnsi="Arial" w:cs="Arial"/>
          <w:b/>
          <w:bCs/>
          <w:sz w:val="24"/>
          <w:szCs w:val="24"/>
          <w:lang w:val="et-EE"/>
        </w:rPr>
        <w:t xml:space="preserve">äripartneri äripartneri või veelgi kaugemal </w:t>
      </w:r>
      <w:r w:rsidR="003A233C">
        <w:rPr>
          <w:rFonts w:ascii="Arial" w:hAnsi="Arial" w:cs="Arial"/>
          <w:b/>
          <w:bCs/>
          <w:sz w:val="24"/>
          <w:szCs w:val="24"/>
          <w:lang w:val="et-EE"/>
        </w:rPr>
        <w:t>tegevus</w:t>
      </w:r>
      <w:r w:rsidR="00312CB7" w:rsidRPr="00BD504C">
        <w:rPr>
          <w:rFonts w:ascii="Arial" w:hAnsi="Arial" w:cs="Arial"/>
          <w:b/>
          <w:bCs/>
          <w:sz w:val="24"/>
          <w:szCs w:val="24"/>
          <w:lang w:val="et-EE"/>
        </w:rPr>
        <w:t>ahelas tegutseva ettevõt</w:t>
      </w:r>
      <w:r w:rsidR="00716259">
        <w:rPr>
          <w:rFonts w:ascii="Arial" w:hAnsi="Arial" w:cs="Arial"/>
          <w:b/>
          <w:bCs/>
          <w:sz w:val="24"/>
          <w:szCs w:val="24"/>
          <w:lang w:val="et-EE"/>
        </w:rPr>
        <w:t xml:space="preserve">te osas </w:t>
      </w:r>
      <w:r w:rsidR="008503AB">
        <w:rPr>
          <w:rFonts w:ascii="Arial" w:hAnsi="Arial" w:cs="Arial"/>
          <w:b/>
          <w:bCs/>
          <w:sz w:val="24"/>
          <w:szCs w:val="24"/>
          <w:lang w:val="et-EE"/>
        </w:rPr>
        <w:t>või kaasneksid sellega ebamõistlikult kõrged kulud</w:t>
      </w:r>
      <w:r w:rsidR="00312CB7" w:rsidRPr="00BD504C">
        <w:rPr>
          <w:rFonts w:ascii="Arial" w:hAnsi="Arial" w:cs="Arial"/>
          <w:b/>
          <w:bCs/>
          <w:sz w:val="24"/>
          <w:szCs w:val="24"/>
          <w:lang w:val="et-EE"/>
        </w:rPr>
        <w:t>. Ja seda eriti juhul, kui see ettevõte asub kolmandates riikides.</w:t>
      </w:r>
    </w:p>
    <w:p w14:paraId="3781919F" w14:textId="07B5CE37" w:rsidR="00F60754" w:rsidRPr="003A233C" w:rsidRDefault="00F60754" w:rsidP="003A233C">
      <w:pPr>
        <w:pStyle w:val="Loendilik"/>
        <w:numPr>
          <w:ilvl w:val="0"/>
          <w:numId w:val="19"/>
        </w:numPr>
        <w:spacing w:after="0" w:line="240" w:lineRule="auto"/>
        <w:jc w:val="both"/>
        <w:rPr>
          <w:rFonts w:ascii="Arial" w:hAnsi="Arial" w:cs="Arial"/>
          <w:b/>
          <w:bCs/>
          <w:sz w:val="24"/>
          <w:szCs w:val="24"/>
          <w:lang w:val="et-EE"/>
        </w:rPr>
      </w:pPr>
      <w:r w:rsidRPr="003A233C">
        <w:rPr>
          <w:rFonts w:ascii="Arial" w:hAnsi="Arial" w:cs="Arial"/>
          <w:b/>
          <w:bCs/>
          <w:sz w:val="24"/>
          <w:szCs w:val="24"/>
          <w:lang w:val="et-EE"/>
        </w:rPr>
        <w:t xml:space="preserve">Peame positiivseks, et üldise lähenemisviisi tekstis ei sisaldu enam mõistet </w:t>
      </w:r>
      <w:r w:rsidR="00157AE0" w:rsidRPr="003A233C">
        <w:rPr>
          <w:rFonts w:ascii="Arial" w:hAnsi="Arial" w:cs="Arial"/>
          <w:b/>
          <w:bCs/>
          <w:sz w:val="24"/>
          <w:szCs w:val="24"/>
          <w:lang w:val="et-EE"/>
        </w:rPr>
        <w:t>„väljakujunenud ärisuhe“. See mõiste oli Komisjoni ettepanekus ettevõtete jaoks ebaselgelt sõnastatud</w:t>
      </w:r>
      <w:r w:rsidR="001C7BA4">
        <w:rPr>
          <w:rFonts w:ascii="Arial" w:hAnsi="Arial" w:cs="Arial"/>
          <w:b/>
          <w:bCs/>
          <w:sz w:val="24"/>
          <w:szCs w:val="24"/>
          <w:lang w:val="et-EE"/>
        </w:rPr>
        <w:t>.</w:t>
      </w:r>
    </w:p>
    <w:p w14:paraId="57F62B1D" w14:textId="77777777" w:rsidR="00DF7BD8" w:rsidRDefault="00DF7BD8" w:rsidP="00A50A08">
      <w:pPr>
        <w:spacing w:before="120" w:after="120" w:line="240" w:lineRule="auto"/>
        <w:jc w:val="both"/>
        <w:rPr>
          <w:rFonts w:ascii="Arial" w:hAnsi="Arial" w:cs="Arial"/>
          <w:sz w:val="24"/>
          <w:szCs w:val="24"/>
          <w:lang w:val="et-EE"/>
        </w:rPr>
      </w:pPr>
    </w:p>
    <w:p w14:paraId="62375140" w14:textId="08AFF9AF" w:rsidR="00DF7BD8" w:rsidRPr="00187592" w:rsidRDefault="00BF60AE" w:rsidP="0010351E">
      <w:pPr>
        <w:spacing w:after="0" w:line="240" w:lineRule="auto"/>
        <w:jc w:val="both"/>
        <w:rPr>
          <w:rFonts w:ascii="Arial" w:hAnsi="Arial" w:cs="Arial"/>
          <w:b/>
          <w:bCs/>
          <w:sz w:val="24"/>
          <w:szCs w:val="24"/>
          <w:lang w:val="et-EE"/>
        </w:rPr>
      </w:pPr>
      <w:r>
        <w:rPr>
          <w:rFonts w:ascii="Arial" w:hAnsi="Arial" w:cs="Arial"/>
          <w:b/>
          <w:bCs/>
          <w:sz w:val="24"/>
          <w:szCs w:val="24"/>
          <w:lang w:val="et-EE"/>
        </w:rPr>
        <w:t>4</w:t>
      </w:r>
      <w:r w:rsidR="00DF7BD8" w:rsidRPr="00187592">
        <w:rPr>
          <w:rFonts w:ascii="Arial" w:hAnsi="Arial" w:cs="Arial"/>
          <w:b/>
          <w:bCs/>
          <w:sz w:val="24"/>
          <w:szCs w:val="24"/>
          <w:lang w:val="et-EE"/>
        </w:rPr>
        <w:t xml:space="preserve">. </w:t>
      </w:r>
      <w:r w:rsidR="00187592" w:rsidRPr="00187592">
        <w:rPr>
          <w:rFonts w:ascii="Arial" w:hAnsi="Arial" w:cs="Arial"/>
          <w:b/>
          <w:bCs/>
          <w:sz w:val="24"/>
          <w:szCs w:val="24"/>
          <w:lang w:val="et-EE"/>
        </w:rPr>
        <w:t>Tsiviilvastutuse mehhanismi kehtestamine direktiivis (artikkel 22)</w:t>
      </w:r>
    </w:p>
    <w:p w14:paraId="2CD3CC06" w14:textId="55DACF3E" w:rsidR="00DF7BD8" w:rsidRDefault="0044672C" w:rsidP="0010351E">
      <w:pPr>
        <w:spacing w:after="0" w:line="240" w:lineRule="auto"/>
        <w:jc w:val="both"/>
        <w:rPr>
          <w:rFonts w:ascii="Arial" w:hAnsi="Arial" w:cs="Arial"/>
          <w:sz w:val="24"/>
          <w:szCs w:val="24"/>
          <w:lang w:val="et-EE"/>
        </w:rPr>
      </w:pPr>
      <w:r w:rsidRPr="0044672C">
        <w:rPr>
          <w:rFonts w:ascii="Arial" w:hAnsi="Arial" w:cs="Arial"/>
          <w:sz w:val="24"/>
          <w:szCs w:val="24"/>
          <w:lang w:val="et-EE"/>
        </w:rPr>
        <w:t>Üldise lähenemisviisi teksti artiklis 22 on sätestatud tsiviilvastutuse regulatsioon</w:t>
      </w:r>
      <w:r w:rsidR="000A16DC">
        <w:rPr>
          <w:rFonts w:ascii="Arial" w:hAnsi="Arial" w:cs="Arial"/>
          <w:sz w:val="24"/>
          <w:szCs w:val="24"/>
          <w:lang w:val="et-EE"/>
        </w:rPr>
        <w:t xml:space="preserve">, </w:t>
      </w:r>
      <w:r w:rsidRPr="0044672C">
        <w:rPr>
          <w:rFonts w:ascii="Arial" w:hAnsi="Arial" w:cs="Arial"/>
          <w:sz w:val="24"/>
          <w:szCs w:val="24"/>
          <w:lang w:val="et-EE"/>
        </w:rPr>
        <w:t>mis näeb ette äriühingu vastutuse oma tegevusega tekitatud kahju eest, kui ta on tahtlikult või hooletusest jätnud täitmata direktiiviga kehtestatud hoolsuskohustuse nõuded (dokumendi lk 109-110).</w:t>
      </w:r>
    </w:p>
    <w:p w14:paraId="009A31F7" w14:textId="3BEEDBEF" w:rsidR="002A0BF4" w:rsidRDefault="002A0BF4" w:rsidP="009448F0">
      <w:pPr>
        <w:spacing w:before="120" w:after="0" w:line="240" w:lineRule="auto"/>
        <w:jc w:val="both"/>
        <w:rPr>
          <w:rFonts w:ascii="Arial" w:hAnsi="Arial" w:cs="Arial"/>
          <w:sz w:val="24"/>
          <w:szCs w:val="24"/>
          <w:lang w:val="et-EE"/>
        </w:rPr>
      </w:pPr>
      <w:r w:rsidRPr="002A0BF4">
        <w:rPr>
          <w:rFonts w:ascii="Arial" w:hAnsi="Arial" w:cs="Arial"/>
          <w:sz w:val="24"/>
          <w:szCs w:val="24"/>
          <w:lang w:val="et-EE"/>
        </w:rPr>
        <w:t>Mustandraportis on Euroopa Parlament esitanud täiendusettepanekud direktiivi algsele tekstile. Lisaks algse teksti täiendamisele on Euroopa Parlament soovinud lisada tsiviilvastutuse sätetesse ka mitmeid täiendavaid meetmeid, sh kahjunõuete esitamise aegumistähtaja (vähemalt 10 aastat) ja kodanikuühiskonna organisatsioonidele ühise hagi esitamise võimaluse (raporti lk 116, muudatusettepanek 200).</w:t>
      </w:r>
    </w:p>
    <w:p w14:paraId="25C8CAF8" w14:textId="12EEA83C" w:rsidR="007C2C57" w:rsidRPr="00F678D2" w:rsidRDefault="00450C5C" w:rsidP="00F678D2">
      <w:pPr>
        <w:spacing w:before="120" w:after="0" w:line="240" w:lineRule="auto"/>
        <w:jc w:val="both"/>
        <w:rPr>
          <w:rFonts w:ascii="Arial" w:hAnsi="Arial" w:cs="Arial"/>
          <w:sz w:val="24"/>
          <w:szCs w:val="24"/>
          <w:lang w:val="et-EE"/>
        </w:rPr>
      </w:pPr>
      <w:r w:rsidRPr="00F678D2">
        <w:rPr>
          <w:rFonts w:ascii="Arial" w:hAnsi="Arial" w:cs="Arial"/>
          <w:sz w:val="24"/>
          <w:szCs w:val="24"/>
          <w:lang w:val="et-EE"/>
        </w:rPr>
        <w:t>Oleme vastu Euroopa Parlamendi muudatusettepanekule</w:t>
      </w:r>
      <w:r w:rsidR="00472F7B" w:rsidRPr="00F678D2">
        <w:rPr>
          <w:rFonts w:ascii="Arial" w:hAnsi="Arial" w:cs="Arial"/>
          <w:sz w:val="24"/>
          <w:szCs w:val="24"/>
          <w:lang w:val="et-EE"/>
        </w:rPr>
        <w:t xml:space="preserve"> (raporti lk </w:t>
      </w:r>
      <w:r w:rsidR="00982094" w:rsidRPr="00F678D2">
        <w:rPr>
          <w:rFonts w:ascii="Arial" w:hAnsi="Arial" w:cs="Arial"/>
          <w:sz w:val="24"/>
          <w:szCs w:val="24"/>
          <w:lang w:val="et-EE"/>
        </w:rPr>
        <w:t>114</w:t>
      </w:r>
      <w:r w:rsidR="00580C41" w:rsidRPr="00F678D2">
        <w:rPr>
          <w:rFonts w:ascii="Arial" w:hAnsi="Arial" w:cs="Arial"/>
          <w:sz w:val="24"/>
          <w:szCs w:val="24"/>
          <w:lang w:val="et-EE"/>
        </w:rPr>
        <w:t>-115</w:t>
      </w:r>
      <w:r w:rsidR="00982094" w:rsidRPr="00F678D2">
        <w:rPr>
          <w:rFonts w:ascii="Arial" w:hAnsi="Arial" w:cs="Arial"/>
          <w:sz w:val="24"/>
          <w:szCs w:val="24"/>
          <w:lang w:val="et-EE"/>
        </w:rPr>
        <w:t>, muudatusettepanek</w:t>
      </w:r>
      <w:r w:rsidR="00580C41" w:rsidRPr="00F678D2">
        <w:rPr>
          <w:rFonts w:ascii="Arial" w:hAnsi="Arial" w:cs="Arial"/>
          <w:sz w:val="24"/>
          <w:szCs w:val="24"/>
          <w:lang w:val="et-EE"/>
        </w:rPr>
        <w:t>ud</w:t>
      </w:r>
      <w:r w:rsidR="001B78BC" w:rsidRPr="00F678D2">
        <w:rPr>
          <w:rFonts w:ascii="Arial" w:hAnsi="Arial" w:cs="Arial"/>
          <w:sz w:val="24"/>
          <w:szCs w:val="24"/>
          <w:lang w:val="et-EE"/>
        </w:rPr>
        <w:t xml:space="preserve"> 196</w:t>
      </w:r>
      <w:r w:rsidR="008C67BD" w:rsidRPr="00F678D2">
        <w:rPr>
          <w:rFonts w:ascii="Arial" w:hAnsi="Arial" w:cs="Arial"/>
          <w:sz w:val="24"/>
          <w:szCs w:val="24"/>
          <w:lang w:val="et-EE"/>
        </w:rPr>
        <w:t xml:space="preserve"> ja 19</w:t>
      </w:r>
      <w:r w:rsidR="00580C41" w:rsidRPr="00F678D2">
        <w:rPr>
          <w:rFonts w:ascii="Arial" w:hAnsi="Arial" w:cs="Arial"/>
          <w:sz w:val="24"/>
          <w:szCs w:val="24"/>
          <w:lang w:val="et-EE"/>
        </w:rPr>
        <w:t>7</w:t>
      </w:r>
      <w:r w:rsidR="00F56528" w:rsidRPr="00F678D2">
        <w:rPr>
          <w:rFonts w:ascii="Arial" w:hAnsi="Arial" w:cs="Arial"/>
          <w:sz w:val="24"/>
          <w:szCs w:val="24"/>
          <w:lang w:val="et-EE"/>
        </w:rPr>
        <w:t xml:space="preserve">), mille kohaselt </w:t>
      </w:r>
      <w:r w:rsidR="0013144B" w:rsidRPr="00F678D2">
        <w:rPr>
          <w:rFonts w:ascii="Arial" w:hAnsi="Arial" w:cs="Arial"/>
          <w:sz w:val="24"/>
          <w:szCs w:val="24"/>
          <w:lang w:val="et-EE"/>
        </w:rPr>
        <w:t>äriühingud vastutavad kahju eest, kui</w:t>
      </w:r>
      <w:r w:rsidR="007F6597" w:rsidRPr="00F678D2">
        <w:rPr>
          <w:rFonts w:ascii="Arial" w:hAnsi="Arial" w:cs="Arial"/>
          <w:sz w:val="24"/>
          <w:szCs w:val="24"/>
          <w:lang w:val="et-EE"/>
        </w:rPr>
        <w:t xml:space="preserve"> nad ei ole täitnud käesolevas direktiivis sätestatud kohustusi</w:t>
      </w:r>
      <w:r w:rsidR="001B78BC" w:rsidRPr="00F678D2">
        <w:rPr>
          <w:rFonts w:ascii="Arial" w:hAnsi="Arial" w:cs="Arial"/>
          <w:sz w:val="24"/>
          <w:szCs w:val="24"/>
          <w:lang w:val="et-EE"/>
        </w:rPr>
        <w:t xml:space="preserve">. </w:t>
      </w:r>
      <w:r w:rsidR="007F6597" w:rsidRPr="00F678D2">
        <w:rPr>
          <w:rFonts w:ascii="Arial" w:hAnsi="Arial" w:cs="Arial"/>
          <w:sz w:val="24"/>
          <w:szCs w:val="24"/>
          <w:lang w:val="et-EE"/>
        </w:rPr>
        <w:t xml:space="preserve">Kaubanduskoda toetab Euroopa Komisjoni ettepanekus ja ka üldise lähenemisviisi tekstis olevat sõnastust, kus </w:t>
      </w:r>
      <w:r w:rsidR="005563F8" w:rsidRPr="00F678D2">
        <w:rPr>
          <w:rFonts w:ascii="Arial" w:hAnsi="Arial" w:cs="Arial"/>
          <w:sz w:val="24"/>
          <w:szCs w:val="24"/>
          <w:lang w:val="et-EE"/>
        </w:rPr>
        <w:t>vastutuse tekkimine on seotud üksnes artiklitega 7 ja 8</w:t>
      </w:r>
      <w:r w:rsidR="00045180" w:rsidRPr="00F678D2">
        <w:rPr>
          <w:rFonts w:ascii="Arial" w:hAnsi="Arial" w:cs="Arial"/>
          <w:sz w:val="24"/>
          <w:szCs w:val="24"/>
          <w:lang w:val="et-EE"/>
        </w:rPr>
        <w:t xml:space="preserve"> mittetäitmisega</w:t>
      </w:r>
      <w:r w:rsidR="005563F8" w:rsidRPr="00F678D2">
        <w:rPr>
          <w:rFonts w:ascii="Arial" w:hAnsi="Arial" w:cs="Arial"/>
          <w:sz w:val="24"/>
          <w:szCs w:val="24"/>
          <w:lang w:val="et-EE"/>
        </w:rPr>
        <w:t>, mitte</w:t>
      </w:r>
      <w:r w:rsidR="00DC5BEE" w:rsidRPr="00F678D2">
        <w:rPr>
          <w:rFonts w:ascii="Arial" w:hAnsi="Arial" w:cs="Arial"/>
          <w:sz w:val="24"/>
          <w:szCs w:val="24"/>
          <w:lang w:val="et-EE"/>
        </w:rPr>
        <w:t xml:space="preserve"> kõikide direktiivi sätete</w:t>
      </w:r>
      <w:r w:rsidR="00C45FE1" w:rsidRPr="00F678D2">
        <w:rPr>
          <w:rFonts w:ascii="Arial" w:hAnsi="Arial" w:cs="Arial"/>
          <w:sz w:val="24"/>
          <w:szCs w:val="24"/>
          <w:lang w:val="et-EE"/>
        </w:rPr>
        <w:t xml:space="preserve"> mittetäitmisega</w:t>
      </w:r>
      <w:r w:rsidR="00DC5BEE" w:rsidRPr="00F678D2">
        <w:rPr>
          <w:rFonts w:ascii="Arial" w:hAnsi="Arial" w:cs="Arial"/>
          <w:sz w:val="24"/>
          <w:szCs w:val="24"/>
          <w:lang w:val="et-EE"/>
        </w:rPr>
        <w:t xml:space="preserve">. </w:t>
      </w:r>
      <w:r w:rsidR="00045180" w:rsidRPr="00F678D2">
        <w:rPr>
          <w:rFonts w:ascii="Arial" w:hAnsi="Arial" w:cs="Arial"/>
          <w:sz w:val="24"/>
          <w:szCs w:val="24"/>
          <w:lang w:val="et-EE"/>
        </w:rPr>
        <w:t>Õigusselguse tagamiseks on oluline, et vastutus oleks piiritletud võimalikult konkreetselt.</w:t>
      </w:r>
    </w:p>
    <w:p w14:paraId="2E616813" w14:textId="08A18752" w:rsidR="00594091" w:rsidRPr="00F678D2" w:rsidRDefault="00594091" w:rsidP="00F678D2">
      <w:pPr>
        <w:spacing w:before="120" w:after="0" w:line="240" w:lineRule="auto"/>
        <w:jc w:val="both"/>
        <w:rPr>
          <w:rFonts w:ascii="Arial" w:hAnsi="Arial" w:cs="Arial"/>
          <w:sz w:val="24"/>
          <w:szCs w:val="24"/>
          <w:lang w:val="et-EE"/>
        </w:rPr>
      </w:pPr>
      <w:r w:rsidRPr="00F678D2">
        <w:rPr>
          <w:rFonts w:ascii="Arial" w:hAnsi="Arial" w:cs="Arial"/>
          <w:sz w:val="24"/>
          <w:szCs w:val="24"/>
          <w:lang w:val="et-EE"/>
        </w:rPr>
        <w:t xml:space="preserve">Toetame </w:t>
      </w:r>
      <w:r w:rsidR="00401186" w:rsidRPr="00F678D2">
        <w:rPr>
          <w:rFonts w:ascii="Arial" w:hAnsi="Arial" w:cs="Arial"/>
          <w:sz w:val="24"/>
          <w:szCs w:val="24"/>
          <w:lang w:val="et-EE"/>
        </w:rPr>
        <w:t>üldise</w:t>
      </w:r>
      <w:r w:rsidRPr="00F678D2">
        <w:rPr>
          <w:rFonts w:ascii="Arial" w:hAnsi="Arial" w:cs="Arial"/>
          <w:sz w:val="24"/>
          <w:szCs w:val="24"/>
          <w:lang w:val="et-EE"/>
        </w:rPr>
        <w:t xml:space="preserve"> lähenemisviisi teksti </w:t>
      </w:r>
      <w:r w:rsidR="00C45FE1" w:rsidRPr="00F678D2">
        <w:rPr>
          <w:rFonts w:ascii="Arial" w:hAnsi="Arial" w:cs="Arial"/>
          <w:sz w:val="24"/>
          <w:szCs w:val="24"/>
          <w:lang w:val="et-EE"/>
        </w:rPr>
        <w:t xml:space="preserve">(artikkel 22 lg 1) </w:t>
      </w:r>
      <w:r w:rsidRPr="00F678D2">
        <w:rPr>
          <w:rFonts w:ascii="Arial" w:hAnsi="Arial" w:cs="Arial"/>
          <w:sz w:val="24"/>
          <w:szCs w:val="24"/>
          <w:lang w:val="et-EE"/>
        </w:rPr>
        <w:t>lisatud täiendust</w:t>
      </w:r>
      <w:r w:rsidR="00417C2B" w:rsidRPr="00F678D2">
        <w:rPr>
          <w:rFonts w:ascii="Arial" w:hAnsi="Arial" w:cs="Arial"/>
          <w:sz w:val="24"/>
          <w:szCs w:val="24"/>
          <w:lang w:val="et-EE"/>
        </w:rPr>
        <w:t>, et äriühingut ei saa võtta vastutusele, kui kahju tekitasid ainult tema äripartnerid tema tegevusahelas.</w:t>
      </w:r>
      <w:r w:rsidR="003074F0" w:rsidRPr="00F678D2">
        <w:rPr>
          <w:rFonts w:ascii="Arial" w:hAnsi="Arial" w:cs="Arial"/>
          <w:sz w:val="24"/>
          <w:szCs w:val="24"/>
          <w:lang w:val="et-EE"/>
        </w:rPr>
        <w:t xml:space="preserve"> Nõustume, et äriühing ei peaks vastutama, kui kahju tekitasid </w:t>
      </w:r>
      <w:r w:rsidR="00DA50AC" w:rsidRPr="00F678D2">
        <w:rPr>
          <w:rFonts w:ascii="Arial" w:hAnsi="Arial" w:cs="Arial"/>
          <w:sz w:val="24"/>
          <w:szCs w:val="24"/>
          <w:lang w:val="et-EE"/>
        </w:rPr>
        <w:t xml:space="preserve">teised isikud samas tegevusahelas. </w:t>
      </w:r>
      <w:r w:rsidR="00721D9B" w:rsidRPr="00F678D2">
        <w:rPr>
          <w:rFonts w:ascii="Arial" w:hAnsi="Arial" w:cs="Arial"/>
          <w:sz w:val="24"/>
          <w:szCs w:val="24"/>
          <w:lang w:val="et-EE"/>
        </w:rPr>
        <w:t xml:space="preserve">Samas </w:t>
      </w:r>
      <w:r w:rsidR="002B2E92" w:rsidRPr="00F678D2">
        <w:rPr>
          <w:rFonts w:ascii="Arial" w:hAnsi="Arial" w:cs="Arial"/>
          <w:sz w:val="24"/>
          <w:szCs w:val="24"/>
          <w:lang w:val="et-EE"/>
        </w:rPr>
        <w:t xml:space="preserve">jääb mõnevõrra ebaselgeks, mida on täpselt mõeldud selle all, et kahju tekitasid ainult tema äripartnerid tema tegevusahelas. Näiteks kui </w:t>
      </w:r>
      <w:r w:rsidR="002B2E92" w:rsidRPr="00F678D2">
        <w:rPr>
          <w:rFonts w:ascii="Arial" w:hAnsi="Arial" w:cs="Arial"/>
          <w:sz w:val="24"/>
          <w:szCs w:val="24"/>
          <w:lang w:val="et-EE"/>
        </w:rPr>
        <w:lastRenderedPageBreak/>
        <w:t>tegevusahelas on üks isik toote valmistamisel rikkunud inimõigusi ja tegevusa</w:t>
      </w:r>
      <w:r w:rsidR="006217F0" w:rsidRPr="00F678D2">
        <w:rPr>
          <w:rFonts w:ascii="Arial" w:hAnsi="Arial" w:cs="Arial"/>
          <w:sz w:val="24"/>
          <w:szCs w:val="24"/>
          <w:lang w:val="et-EE"/>
        </w:rPr>
        <w:t xml:space="preserve">hela </w:t>
      </w:r>
      <w:r w:rsidR="002B2E92" w:rsidRPr="00F678D2">
        <w:rPr>
          <w:rFonts w:ascii="Arial" w:hAnsi="Arial" w:cs="Arial"/>
          <w:sz w:val="24"/>
          <w:szCs w:val="24"/>
          <w:lang w:val="et-EE"/>
        </w:rPr>
        <w:t xml:space="preserve">lõpus müüb äriühing sellist toodet, siis kas sellisel juhul </w:t>
      </w:r>
      <w:r w:rsidR="00630E8A" w:rsidRPr="00F678D2">
        <w:rPr>
          <w:rFonts w:ascii="Arial" w:hAnsi="Arial" w:cs="Arial"/>
          <w:sz w:val="24"/>
          <w:szCs w:val="24"/>
          <w:lang w:val="et-EE"/>
        </w:rPr>
        <w:t>on kahju tekitanud see</w:t>
      </w:r>
      <w:r w:rsidR="001570D9" w:rsidRPr="00F678D2">
        <w:rPr>
          <w:rFonts w:ascii="Arial" w:hAnsi="Arial" w:cs="Arial"/>
          <w:sz w:val="24"/>
          <w:szCs w:val="24"/>
          <w:lang w:val="et-EE"/>
        </w:rPr>
        <w:t xml:space="preserve"> </w:t>
      </w:r>
      <w:r w:rsidR="00630E8A" w:rsidRPr="00F678D2">
        <w:rPr>
          <w:rFonts w:ascii="Arial" w:hAnsi="Arial" w:cs="Arial"/>
          <w:sz w:val="24"/>
          <w:szCs w:val="24"/>
          <w:lang w:val="et-EE"/>
        </w:rPr>
        <w:t>isik, kes rikkus inimõiguseid või kogu tegutsemisahel alates inimõiguste rikkumisest.</w:t>
      </w:r>
    </w:p>
    <w:p w14:paraId="0DFF4EDC" w14:textId="37ACA40B" w:rsidR="00B74AFB" w:rsidRPr="00F678D2" w:rsidRDefault="00B74AFB" w:rsidP="00F678D2">
      <w:pPr>
        <w:spacing w:before="120" w:after="0" w:line="240" w:lineRule="auto"/>
        <w:jc w:val="both"/>
        <w:rPr>
          <w:rFonts w:ascii="Arial" w:hAnsi="Arial" w:cs="Arial"/>
          <w:sz w:val="24"/>
          <w:szCs w:val="24"/>
          <w:lang w:val="et-EE"/>
        </w:rPr>
      </w:pPr>
      <w:r w:rsidRPr="00F678D2">
        <w:rPr>
          <w:rFonts w:ascii="Arial" w:hAnsi="Arial" w:cs="Arial"/>
          <w:sz w:val="24"/>
          <w:szCs w:val="24"/>
          <w:lang w:val="et-EE"/>
        </w:rPr>
        <w:t xml:space="preserve">Toetame üldise lähenemisviisi tekstis </w:t>
      </w:r>
      <w:r w:rsidR="003261AD" w:rsidRPr="00F678D2">
        <w:rPr>
          <w:rFonts w:ascii="Arial" w:hAnsi="Arial" w:cs="Arial"/>
          <w:sz w:val="24"/>
          <w:szCs w:val="24"/>
          <w:lang w:val="et-EE"/>
        </w:rPr>
        <w:t xml:space="preserve">(artikkel 22 lg 1) </w:t>
      </w:r>
      <w:r w:rsidRPr="00F678D2">
        <w:rPr>
          <w:rFonts w:ascii="Arial" w:hAnsi="Arial" w:cs="Arial"/>
          <w:sz w:val="24"/>
          <w:szCs w:val="24"/>
          <w:lang w:val="et-EE"/>
        </w:rPr>
        <w:t>olevat täiendust, et direktiivi kohane täielik hüvitamine ei tohi põhjustada ülemäärast hüvitamist karistuslike, mitmekordsete või muud liiki kahjuhüvitiste näol.</w:t>
      </w:r>
    </w:p>
    <w:p w14:paraId="0B16078E" w14:textId="13E0FE8A" w:rsidR="00DE23D5" w:rsidRPr="00F678D2" w:rsidRDefault="00CA360C" w:rsidP="00F678D2">
      <w:pPr>
        <w:spacing w:before="120" w:after="0" w:line="240" w:lineRule="auto"/>
        <w:jc w:val="both"/>
        <w:rPr>
          <w:rFonts w:ascii="Arial" w:hAnsi="Arial" w:cs="Arial"/>
          <w:sz w:val="24"/>
          <w:szCs w:val="24"/>
          <w:lang w:val="et-EE"/>
        </w:rPr>
      </w:pPr>
      <w:r w:rsidRPr="00F678D2">
        <w:rPr>
          <w:rFonts w:ascii="Arial" w:hAnsi="Arial" w:cs="Arial"/>
          <w:sz w:val="24"/>
          <w:szCs w:val="24"/>
          <w:lang w:val="et-EE"/>
        </w:rPr>
        <w:t>Kuna Euroopa Parlamendi muudatusettepaneku</w:t>
      </w:r>
      <w:r w:rsidR="00F512D3" w:rsidRPr="00F678D2">
        <w:rPr>
          <w:rFonts w:ascii="Arial" w:hAnsi="Arial" w:cs="Arial"/>
          <w:sz w:val="24"/>
          <w:szCs w:val="24"/>
          <w:lang w:val="et-EE"/>
        </w:rPr>
        <w:t xml:space="preserve"> </w:t>
      </w:r>
      <w:r w:rsidR="0044657D" w:rsidRPr="00F678D2">
        <w:rPr>
          <w:rFonts w:ascii="Arial" w:hAnsi="Arial" w:cs="Arial"/>
          <w:sz w:val="24"/>
          <w:szCs w:val="24"/>
          <w:lang w:val="et-EE"/>
        </w:rPr>
        <w:t xml:space="preserve">nr 200 </w:t>
      </w:r>
      <w:r w:rsidRPr="00F678D2">
        <w:rPr>
          <w:rFonts w:ascii="Arial" w:hAnsi="Arial" w:cs="Arial"/>
          <w:sz w:val="24"/>
          <w:szCs w:val="24"/>
          <w:lang w:val="et-EE"/>
        </w:rPr>
        <w:t xml:space="preserve">osas puuduvad täiendavad selgitused, siis on </w:t>
      </w:r>
      <w:r w:rsidR="003337BA" w:rsidRPr="00F678D2">
        <w:rPr>
          <w:rFonts w:ascii="Arial" w:hAnsi="Arial" w:cs="Arial"/>
          <w:sz w:val="24"/>
          <w:szCs w:val="24"/>
          <w:lang w:val="et-EE"/>
        </w:rPr>
        <w:t xml:space="preserve">selle võrra </w:t>
      </w:r>
      <w:r w:rsidR="00A0706D">
        <w:rPr>
          <w:rFonts w:ascii="Arial" w:hAnsi="Arial" w:cs="Arial"/>
          <w:sz w:val="24"/>
          <w:szCs w:val="24"/>
          <w:lang w:val="et-EE"/>
        </w:rPr>
        <w:t xml:space="preserve">raskem </w:t>
      </w:r>
      <w:r w:rsidR="00B727E1" w:rsidRPr="00F678D2">
        <w:rPr>
          <w:rFonts w:ascii="Arial" w:hAnsi="Arial" w:cs="Arial"/>
          <w:sz w:val="24"/>
          <w:szCs w:val="24"/>
          <w:lang w:val="et-EE"/>
        </w:rPr>
        <w:t>mõista nende ettepanekute tausta ja mõju.</w:t>
      </w:r>
      <w:r w:rsidR="00131F93" w:rsidRPr="00F678D2">
        <w:rPr>
          <w:rFonts w:ascii="Arial" w:hAnsi="Arial" w:cs="Arial"/>
          <w:sz w:val="24"/>
          <w:szCs w:val="24"/>
          <w:lang w:val="et-EE"/>
        </w:rPr>
        <w:t xml:space="preserve"> </w:t>
      </w:r>
      <w:r w:rsidR="00F82BEB" w:rsidRPr="00F678D2">
        <w:rPr>
          <w:rFonts w:ascii="Arial" w:hAnsi="Arial" w:cs="Arial"/>
          <w:sz w:val="24"/>
          <w:szCs w:val="24"/>
          <w:lang w:val="et-EE"/>
        </w:rPr>
        <w:t xml:space="preserve">Seetõttu on </w:t>
      </w:r>
      <w:r w:rsidR="005B7938">
        <w:rPr>
          <w:rFonts w:ascii="Arial" w:hAnsi="Arial" w:cs="Arial"/>
          <w:sz w:val="24"/>
          <w:szCs w:val="24"/>
          <w:lang w:val="et-EE"/>
        </w:rPr>
        <w:t xml:space="preserve">ka </w:t>
      </w:r>
      <w:r w:rsidR="00F82BEB" w:rsidRPr="00F678D2">
        <w:rPr>
          <w:rFonts w:ascii="Arial" w:hAnsi="Arial" w:cs="Arial"/>
          <w:sz w:val="24"/>
          <w:szCs w:val="24"/>
          <w:lang w:val="et-EE"/>
        </w:rPr>
        <w:t>keerul</w:t>
      </w:r>
      <w:r w:rsidR="007C2C57" w:rsidRPr="00F678D2">
        <w:rPr>
          <w:rFonts w:ascii="Arial" w:hAnsi="Arial" w:cs="Arial"/>
          <w:sz w:val="24"/>
          <w:szCs w:val="24"/>
          <w:lang w:val="et-EE"/>
        </w:rPr>
        <w:t>ine anda konkreetset tagasisidet</w:t>
      </w:r>
      <w:r w:rsidR="005B7938">
        <w:rPr>
          <w:rFonts w:ascii="Arial" w:hAnsi="Arial" w:cs="Arial"/>
          <w:sz w:val="24"/>
          <w:szCs w:val="24"/>
          <w:lang w:val="et-EE"/>
        </w:rPr>
        <w:t xml:space="preserve"> </w:t>
      </w:r>
      <w:r w:rsidR="007C2C57" w:rsidRPr="00F678D2">
        <w:rPr>
          <w:rFonts w:ascii="Arial" w:hAnsi="Arial" w:cs="Arial"/>
          <w:sz w:val="24"/>
          <w:szCs w:val="24"/>
          <w:lang w:val="et-EE"/>
        </w:rPr>
        <w:t xml:space="preserve">. </w:t>
      </w:r>
      <w:r w:rsidR="00131F93" w:rsidRPr="00F678D2">
        <w:rPr>
          <w:rFonts w:ascii="Arial" w:hAnsi="Arial" w:cs="Arial"/>
          <w:sz w:val="24"/>
          <w:szCs w:val="24"/>
          <w:lang w:val="et-EE"/>
        </w:rPr>
        <w:t>Näiteks jääb ebaselgeks, milline on aegumistähtaeg</w:t>
      </w:r>
      <w:r w:rsidR="0044657D" w:rsidRPr="00F678D2">
        <w:rPr>
          <w:rFonts w:ascii="Arial" w:hAnsi="Arial" w:cs="Arial"/>
          <w:sz w:val="24"/>
          <w:szCs w:val="24"/>
          <w:lang w:val="et-EE"/>
        </w:rPr>
        <w:t xml:space="preserve"> olukorras, kui Euroopa Parlamendi vastav ettepanek ei jõua direktiivi. Kas sellisel juhul tuleb aegumistähtaeg </w:t>
      </w:r>
      <w:r w:rsidR="00410492" w:rsidRPr="00F678D2">
        <w:rPr>
          <w:rFonts w:ascii="Arial" w:hAnsi="Arial" w:cs="Arial"/>
          <w:sz w:val="24"/>
          <w:szCs w:val="24"/>
          <w:lang w:val="et-EE"/>
        </w:rPr>
        <w:t xml:space="preserve">mõnest muust direktiivist </w:t>
      </w:r>
      <w:r w:rsidR="0044657D" w:rsidRPr="00F678D2">
        <w:rPr>
          <w:rFonts w:ascii="Arial" w:hAnsi="Arial" w:cs="Arial"/>
          <w:sz w:val="24"/>
          <w:szCs w:val="24"/>
          <w:lang w:val="et-EE"/>
        </w:rPr>
        <w:t>või saab iga liikmesriik aegumistähtaja ise otsustada</w:t>
      </w:r>
      <w:r w:rsidR="00410492" w:rsidRPr="00F678D2">
        <w:rPr>
          <w:rFonts w:ascii="Arial" w:hAnsi="Arial" w:cs="Arial"/>
          <w:sz w:val="24"/>
          <w:szCs w:val="24"/>
          <w:lang w:val="et-EE"/>
        </w:rPr>
        <w:t>?</w:t>
      </w:r>
    </w:p>
    <w:p w14:paraId="7B6F0698" w14:textId="070EFBCB" w:rsidR="00F678D2" w:rsidRDefault="00640E5D" w:rsidP="00F678D2">
      <w:pPr>
        <w:spacing w:before="120" w:after="0" w:line="240" w:lineRule="auto"/>
        <w:jc w:val="both"/>
        <w:rPr>
          <w:rFonts w:ascii="Arial" w:hAnsi="Arial" w:cs="Arial"/>
          <w:sz w:val="24"/>
          <w:szCs w:val="24"/>
          <w:lang w:val="et-EE"/>
        </w:rPr>
      </w:pPr>
      <w:r w:rsidRPr="00F678D2">
        <w:rPr>
          <w:rFonts w:ascii="Arial" w:hAnsi="Arial" w:cs="Arial"/>
          <w:sz w:val="24"/>
          <w:szCs w:val="24"/>
          <w:lang w:val="et-EE"/>
        </w:rPr>
        <w:t xml:space="preserve">Kaubanduskoda ei näe esmapilgul vajadust </w:t>
      </w:r>
      <w:r w:rsidR="00CB5DC3" w:rsidRPr="00F678D2">
        <w:rPr>
          <w:rFonts w:ascii="Arial" w:hAnsi="Arial" w:cs="Arial"/>
          <w:sz w:val="24"/>
          <w:szCs w:val="24"/>
          <w:lang w:val="et-EE"/>
        </w:rPr>
        <w:t xml:space="preserve">Euroopa Parlamendi muudatusettepanekus nr 200 sisalduva </w:t>
      </w:r>
      <w:r w:rsidRPr="00F678D2">
        <w:rPr>
          <w:rFonts w:ascii="Arial" w:hAnsi="Arial" w:cs="Arial"/>
          <w:sz w:val="24"/>
          <w:szCs w:val="24"/>
          <w:lang w:val="et-EE"/>
        </w:rPr>
        <w:t>sätte järele, mille kohaselt</w:t>
      </w:r>
      <w:r w:rsidR="001D753D" w:rsidRPr="00F678D2">
        <w:rPr>
          <w:rFonts w:ascii="Arial" w:hAnsi="Arial" w:cs="Arial"/>
          <w:sz w:val="24"/>
          <w:szCs w:val="24"/>
          <w:lang w:val="et-EE"/>
        </w:rPr>
        <w:t xml:space="preserve"> peavad liikmesriigid tagama, et kehtestatud on meetmed, millega tagatakse, et ametiühingud ja avalikes huvides tegutsevad kodanikuühiskonna organisatsioonid saavad ohvrite rühma kaitsmiseks esitada hagisid ühiselt</w:t>
      </w:r>
      <w:r w:rsidR="002472FC" w:rsidRPr="00F678D2">
        <w:rPr>
          <w:rFonts w:ascii="Arial" w:hAnsi="Arial" w:cs="Arial"/>
          <w:sz w:val="24"/>
          <w:szCs w:val="24"/>
          <w:lang w:val="et-EE"/>
        </w:rPr>
        <w:t>. Meie hinnangul puudub vajadus sellise erisuse järel</w:t>
      </w:r>
      <w:r w:rsidR="008A6141" w:rsidRPr="00F678D2">
        <w:rPr>
          <w:rFonts w:ascii="Arial" w:hAnsi="Arial" w:cs="Arial"/>
          <w:sz w:val="24"/>
          <w:szCs w:val="24"/>
          <w:lang w:val="et-EE"/>
        </w:rPr>
        <w:t xml:space="preserve">e ning </w:t>
      </w:r>
      <w:r w:rsidR="004818D7">
        <w:rPr>
          <w:rFonts w:ascii="Arial" w:hAnsi="Arial" w:cs="Arial"/>
          <w:sz w:val="24"/>
          <w:szCs w:val="24"/>
          <w:lang w:val="et-EE"/>
        </w:rPr>
        <w:t xml:space="preserve">eelkõige on oluline, et </w:t>
      </w:r>
      <w:r w:rsidR="00486604" w:rsidRPr="00F678D2">
        <w:rPr>
          <w:rFonts w:ascii="Arial" w:hAnsi="Arial" w:cs="Arial"/>
          <w:sz w:val="24"/>
          <w:szCs w:val="24"/>
          <w:lang w:val="et-EE"/>
        </w:rPr>
        <w:t xml:space="preserve">hagi esitamise võimalus </w:t>
      </w:r>
      <w:r w:rsidR="004818D7">
        <w:rPr>
          <w:rFonts w:ascii="Arial" w:hAnsi="Arial" w:cs="Arial"/>
          <w:sz w:val="24"/>
          <w:szCs w:val="24"/>
          <w:lang w:val="et-EE"/>
        </w:rPr>
        <w:t>on</w:t>
      </w:r>
      <w:r w:rsidR="00486604" w:rsidRPr="00F678D2">
        <w:rPr>
          <w:rFonts w:ascii="Arial" w:hAnsi="Arial" w:cs="Arial"/>
          <w:sz w:val="24"/>
          <w:szCs w:val="24"/>
          <w:lang w:val="et-EE"/>
        </w:rPr>
        <w:t xml:space="preserve"> </w:t>
      </w:r>
      <w:r w:rsidR="00E71171" w:rsidRPr="00F678D2">
        <w:rPr>
          <w:rFonts w:ascii="Arial" w:hAnsi="Arial" w:cs="Arial"/>
          <w:sz w:val="24"/>
          <w:szCs w:val="24"/>
          <w:lang w:val="et-EE"/>
        </w:rPr>
        <w:t xml:space="preserve">tagatud </w:t>
      </w:r>
      <w:r w:rsidR="00486604" w:rsidRPr="00F678D2">
        <w:rPr>
          <w:rFonts w:ascii="Arial" w:hAnsi="Arial" w:cs="Arial"/>
          <w:sz w:val="24"/>
          <w:szCs w:val="24"/>
          <w:lang w:val="et-EE"/>
        </w:rPr>
        <w:t>igal</w:t>
      </w:r>
      <w:r w:rsidR="00E71171" w:rsidRPr="00F678D2">
        <w:rPr>
          <w:rFonts w:ascii="Arial" w:hAnsi="Arial" w:cs="Arial"/>
          <w:sz w:val="24"/>
          <w:szCs w:val="24"/>
          <w:lang w:val="et-EE"/>
        </w:rPr>
        <w:t>e</w:t>
      </w:r>
      <w:r w:rsidR="00486604" w:rsidRPr="00F678D2">
        <w:rPr>
          <w:rFonts w:ascii="Arial" w:hAnsi="Arial" w:cs="Arial"/>
          <w:sz w:val="24"/>
          <w:szCs w:val="24"/>
          <w:lang w:val="et-EE"/>
        </w:rPr>
        <w:t xml:space="preserve"> isikul</w:t>
      </w:r>
      <w:r w:rsidR="00E71171" w:rsidRPr="00F678D2">
        <w:rPr>
          <w:rFonts w:ascii="Arial" w:hAnsi="Arial" w:cs="Arial"/>
          <w:sz w:val="24"/>
          <w:szCs w:val="24"/>
          <w:lang w:val="et-EE"/>
        </w:rPr>
        <w:t>e</w:t>
      </w:r>
      <w:r w:rsidR="00486604" w:rsidRPr="00F678D2">
        <w:rPr>
          <w:rFonts w:ascii="Arial" w:hAnsi="Arial" w:cs="Arial"/>
          <w:sz w:val="24"/>
          <w:szCs w:val="24"/>
          <w:lang w:val="et-EE"/>
        </w:rPr>
        <w:t>, kellele on kahju tekitatud.</w:t>
      </w:r>
    </w:p>
    <w:p w14:paraId="4D741C6B" w14:textId="2A32D701" w:rsidR="0088102A" w:rsidRDefault="0088102A" w:rsidP="00F678D2">
      <w:pPr>
        <w:spacing w:before="120" w:after="0" w:line="240" w:lineRule="auto"/>
        <w:jc w:val="both"/>
        <w:rPr>
          <w:rFonts w:ascii="Arial" w:hAnsi="Arial" w:cs="Arial"/>
          <w:b/>
          <w:bCs/>
          <w:sz w:val="24"/>
          <w:szCs w:val="24"/>
          <w:lang w:val="et-EE"/>
        </w:rPr>
      </w:pPr>
      <w:r w:rsidRPr="0088102A">
        <w:rPr>
          <w:rFonts w:ascii="Arial" w:hAnsi="Arial" w:cs="Arial"/>
          <w:b/>
          <w:bCs/>
          <w:sz w:val="24"/>
          <w:szCs w:val="24"/>
          <w:u w:val="single"/>
          <w:lang w:val="et-EE"/>
        </w:rPr>
        <w:t>Kaubanduskoja seisukoht</w:t>
      </w:r>
      <w:r w:rsidRPr="0088102A">
        <w:rPr>
          <w:rFonts w:ascii="Arial" w:hAnsi="Arial" w:cs="Arial"/>
          <w:b/>
          <w:bCs/>
          <w:sz w:val="24"/>
          <w:szCs w:val="24"/>
          <w:lang w:val="et-EE"/>
        </w:rPr>
        <w:t>:</w:t>
      </w:r>
    </w:p>
    <w:p w14:paraId="0B49D4BE" w14:textId="3DF0798E" w:rsidR="00F170E3" w:rsidRPr="0088102A" w:rsidRDefault="0088102A" w:rsidP="00F678D2">
      <w:pPr>
        <w:spacing w:after="0" w:line="240" w:lineRule="auto"/>
        <w:jc w:val="both"/>
        <w:rPr>
          <w:rFonts w:ascii="Arial" w:hAnsi="Arial" w:cs="Arial"/>
          <w:b/>
          <w:bCs/>
          <w:sz w:val="24"/>
          <w:szCs w:val="24"/>
          <w:lang w:val="et-EE"/>
        </w:rPr>
      </w:pPr>
      <w:r w:rsidRPr="0088102A">
        <w:rPr>
          <w:rFonts w:ascii="Arial" w:hAnsi="Arial" w:cs="Arial"/>
          <w:b/>
          <w:bCs/>
          <w:sz w:val="24"/>
          <w:szCs w:val="24"/>
          <w:lang w:val="et-EE"/>
        </w:rPr>
        <w:t>Kokkuvõttes leiame, et esmapilgul tundub tsiviilvastutuse regulatsioon selgem ja konkreetsem üldise lähenemisviisi tekstis ning seetõttu eelistame seda Euroopa Parlamendi muudatusettepanekutele.</w:t>
      </w:r>
    </w:p>
    <w:p w14:paraId="3A4E004F" w14:textId="77777777" w:rsidR="00847504" w:rsidRDefault="00847504" w:rsidP="00847504">
      <w:pPr>
        <w:spacing w:before="120" w:after="120" w:line="240" w:lineRule="auto"/>
        <w:jc w:val="both"/>
        <w:rPr>
          <w:rFonts w:ascii="Arial" w:hAnsi="Arial" w:cs="Arial"/>
          <w:sz w:val="24"/>
          <w:szCs w:val="24"/>
          <w:lang w:val="et-EE"/>
        </w:rPr>
      </w:pPr>
    </w:p>
    <w:p w14:paraId="20BFE983" w14:textId="64DE4980" w:rsidR="0010351E" w:rsidRPr="00187592" w:rsidRDefault="00BF60AE" w:rsidP="0010351E">
      <w:pPr>
        <w:spacing w:after="0" w:line="240" w:lineRule="auto"/>
        <w:jc w:val="both"/>
        <w:rPr>
          <w:rFonts w:ascii="Arial" w:hAnsi="Arial" w:cs="Arial"/>
          <w:b/>
          <w:bCs/>
          <w:sz w:val="24"/>
          <w:szCs w:val="24"/>
          <w:lang w:val="et-EE"/>
        </w:rPr>
      </w:pPr>
      <w:r>
        <w:rPr>
          <w:rFonts w:ascii="Arial" w:hAnsi="Arial" w:cs="Arial"/>
          <w:b/>
          <w:bCs/>
          <w:sz w:val="24"/>
          <w:szCs w:val="24"/>
          <w:lang w:val="et-EE"/>
        </w:rPr>
        <w:t>5</w:t>
      </w:r>
      <w:r w:rsidR="00187592" w:rsidRPr="00187592">
        <w:rPr>
          <w:rFonts w:ascii="Arial" w:hAnsi="Arial" w:cs="Arial"/>
          <w:b/>
          <w:bCs/>
          <w:sz w:val="24"/>
          <w:szCs w:val="24"/>
          <w:lang w:val="et-EE"/>
        </w:rPr>
        <w:t>. Direktiivi lisas kehtestatud hoolsuskohustuste sisustamine (lisa osad I ja II)</w:t>
      </w:r>
    </w:p>
    <w:p w14:paraId="5EAB3EA1" w14:textId="6BC5EFDA" w:rsidR="00187592" w:rsidRDefault="00FB2D49" w:rsidP="0010351E">
      <w:pPr>
        <w:spacing w:after="0" w:line="240" w:lineRule="auto"/>
        <w:jc w:val="both"/>
        <w:rPr>
          <w:rFonts w:ascii="Arial" w:hAnsi="Arial" w:cs="Arial"/>
          <w:sz w:val="24"/>
          <w:szCs w:val="24"/>
          <w:lang w:val="et-EE"/>
        </w:rPr>
      </w:pPr>
      <w:r w:rsidRPr="00FB2D49">
        <w:rPr>
          <w:rFonts w:ascii="Arial" w:hAnsi="Arial" w:cs="Arial"/>
          <w:sz w:val="24"/>
          <w:szCs w:val="24"/>
          <w:lang w:val="et-EE"/>
        </w:rPr>
        <w:t>Direktiivi lisa on jaotatud kaheks osaks. I osas on sätestatud loetelu inimõigustest, mille rikkumine tähendab direktiiviga seatud kestlikkusalase hoolsuskohustuse rikkumist. Osas II on samal põhimõttel esitatud loetelu keskkonnaalastest keeldudest ja kohustustest, mille rikkumine tähendab direktiiviga seatud kestlikkusalase hoolsuskohustuse rikkumist. Viited on tehtud rahvusvahelistele instrumentidele, milles sisalduvad nõuded on suunatud riikidele ja ei ole füüsilistele ja juriidilistele isikutele otse kohaldatavad. Selleks, et selguks ettevõtetele kehtestatava hoolsuskohustuse tegelik sisu, peavad liikmesriigid asuma lisas sätestatud kohustusi siseriiklikku õigusse ümber sõnastama, vastasel juhul ei ole selge, mida peab iga ettevõte tegema, et tema tegevuses oleks kestlikkusalane hoolsuskohustus täidetud.</w:t>
      </w:r>
    </w:p>
    <w:p w14:paraId="6E2717F2" w14:textId="1DE5EEB2" w:rsidR="00C5455C" w:rsidRDefault="00C5455C" w:rsidP="00DE6BCC">
      <w:pPr>
        <w:spacing w:before="120" w:after="0" w:line="240" w:lineRule="auto"/>
        <w:jc w:val="both"/>
        <w:rPr>
          <w:rFonts w:ascii="Arial" w:hAnsi="Arial" w:cs="Arial"/>
          <w:sz w:val="24"/>
          <w:szCs w:val="24"/>
          <w:lang w:val="et-EE"/>
        </w:rPr>
      </w:pPr>
      <w:r w:rsidRPr="00C5455C">
        <w:rPr>
          <w:rFonts w:ascii="Arial" w:hAnsi="Arial" w:cs="Arial"/>
          <w:b/>
          <w:bCs/>
          <w:sz w:val="24"/>
          <w:szCs w:val="24"/>
          <w:u w:val="single"/>
          <w:lang w:val="et-EE"/>
        </w:rPr>
        <w:t>Kaubanduskoja seisukoht</w:t>
      </w:r>
      <w:r w:rsidRPr="00C5455C">
        <w:rPr>
          <w:rFonts w:ascii="Arial" w:hAnsi="Arial" w:cs="Arial"/>
          <w:sz w:val="24"/>
          <w:szCs w:val="24"/>
          <w:lang w:val="et-EE"/>
        </w:rPr>
        <w:t>:</w:t>
      </w:r>
    </w:p>
    <w:p w14:paraId="563F9125" w14:textId="286CE84C" w:rsidR="00DE6BCC" w:rsidRPr="00C5455C" w:rsidRDefault="00DE6BCC" w:rsidP="00C5455C">
      <w:pPr>
        <w:spacing w:after="0" w:line="240" w:lineRule="auto"/>
        <w:jc w:val="both"/>
        <w:rPr>
          <w:rFonts w:ascii="Arial" w:hAnsi="Arial" w:cs="Arial"/>
          <w:b/>
          <w:bCs/>
          <w:sz w:val="24"/>
          <w:szCs w:val="24"/>
          <w:lang w:val="et-EE"/>
        </w:rPr>
      </w:pPr>
      <w:r w:rsidRPr="00C5455C">
        <w:rPr>
          <w:rFonts w:ascii="Arial" w:hAnsi="Arial" w:cs="Arial"/>
          <w:b/>
          <w:bCs/>
          <w:sz w:val="24"/>
          <w:szCs w:val="24"/>
          <w:lang w:val="et-EE"/>
        </w:rPr>
        <w:t>Kaubanduskoda nõustub</w:t>
      </w:r>
      <w:r w:rsidR="00127014" w:rsidRPr="00C5455C">
        <w:rPr>
          <w:rFonts w:ascii="Arial" w:hAnsi="Arial" w:cs="Arial"/>
          <w:b/>
          <w:bCs/>
          <w:sz w:val="24"/>
          <w:szCs w:val="24"/>
          <w:lang w:val="et-EE"/>
        </w:rPr>
        <w:t xml:space="preserve"> </w:t>
      </w:r>
      <w:r w:rsidRPr="00C5455C">
        <w:rPr>
          <w:rFonts w:ascii="Arial" w:hAnsi="Arial" w:cs="Arial"/>
          <w:b/>
          <w:bCs/>
          <w:sz w:val="24"/>
          <w:szCs w:val="24"/>
          <w:lang w:val="et-EE"/>
        </w:rPr>
        <w:t>Justiitsministeeriumiga, et direktiivi lisas olev loetelu ei võimalda ettevõtetel hoolsuskohustuste sisust selgelt aru saada ega liikmesriikidel neid ühetaolisel viisil sisustada.</w:t>
      </w:r>
      <w:r w:rsidR="00230DED" w:rsidRPr="00C5455C">
        <w:rPr>
          <w:rFonts w:ascii="Arial" w:hAnsi="Arial" w:cs="Arial"/>
          <w:b/>
          <w:bCs/>
          <w:sz w:val="24"/>
          <w:szCs w:val="24"/>
          <w:lang w:val="et-EE"/>
        </w:rPr>
        <w:t xml:space="preserve"> </w:t>
      </w:r>
      <w:r w:rsidR="00D03E69">
        <w:rPr>
          <w:rFonts w:ascii="Arial" w:hAnsi="Arial" w:cs="Arial"/>
          <w:b/>
          <w:bCs/>
          <w:sz w:val="24"/>
          <w:szCs w:val="24"/>
          <w:lang w:val="et-EE"/>
        </w:rPr>
        <w:t>Meie hinnangul peaks</w:t>
      </w:r>
      <w:r w:rsidR="006614C0">
        <w:rPr>
          <w:rFonts w:ascii="Arial" w:hAnsi="Arial" w:cs="Arial"/>
          <w:b/>
          <w:bCs/>
          <w:sz w:val="24"/>
          <w:szCs w:val="24"/>
          <w:lang w:val="et-EE"/>
        </w:rPr>
        <w:t xml:space="preserve"> eelkõige osa I ehk inimõiguseid puudutav osa olema oluliselt konkreetse</w:t>
      </w:r>
      <w:r w:rsidR="00747CF1">
        <w:rPr>
          <w:rFonts w:ascii="Arial" w:hAnsi="Arial" w:cs="Arial"/>
          <w:b/>
          <w:bCs/>
          <w:sz w:val="24"/>
          <w:szCs w:val="24"/>
          <w:lang w:val="et-EE"/>
        </w:rPr>
        <w:t xml:space="preserve">m. </w:t>
      </w:r>
      <w:r w:rsidR="001674AD">
        <w:rPr>
          <w:rFonts w:ascii="Arial" w:hAnsi="Arial" w:cs="Arial"/>
          <w:b/>
          <w:bCs/>
          <w:sz w:val="24"/>
          <w:szCs w:val="24"/>
          <w:lang w:val="et-EE"/>
        </w:rPr>
        <w:t xml:space="preserve">Kui </w:t>
      </w:r>
      <w:r w:rsidR="008D09C3">
        <w:rPr>
          <w:rFonts w:ascii="Arial" w:hAnsi="Arial" w:cs="Arial"/>
          <w:b/>
          <w:bCs/>
          <w:sz w:val="24"/>
          <w:szCs w:val="24"/>
          <w:lang w:val="et-EE"/>
        </w:rPr>
        <w:t xml:space="preserve">ELi poolt </w:t>
      </w:r>
      <w:r w:rsidR="001674AD">
        <w:rPr>
          <w:rFonts w:ascii="Arial" w:hAnsi="Arial" w:cs="Arial"/>
          <w:b/>
          <w:bCs/>
          <w:sz w:val="24"/>
          <w:szCs w:val="24"/>
          <w:lang w:val="et-EE"/>
        </w:rPr>
        <w:t xml:space="preserve">ei suudeta </w:t>
      </w:r>
      <w:r w:rsidR="008D09C3">
        <w:rPr>
          <w:rFonts w:ascii="Arial" w:hAnsi="Arial" w:cs="Arial"/>
          <w:b/>
          <w:bCs/>
          <w:sz w:val="24"/>
          <w:szCs w:val="24"/>
          <w:lang w:val="et-EE"/>
        </w:rPr>
        <w:t xml:space="preserve">võimalikult </w:t>
      </w:r>
      <w:r w:rsidR="001674AD">
        <w:rPr>
          <w:rFonts w:ascii="Arial" w:hAnsi="Arial" w:cs="Arial"/>
          <w:b/>
          <w:bCs/>
          <w:sz w:val="24"/>
          <w:szCs w:val="24"/>
          <w:lang w:val="et-EE"/>
        </w:rPr>
        <w:t xml:space="preserve">konkreetset </w:t>
      </w:r>
      <w:r w:rsidR="008D09C3">
        <w:rPr>
          <w:rFonts w:ascii="Arial" w:hAnsi="Arial" w:cs="Arial"/>
          <w:b/>
          <w:bCs/>
          <w:sz w:val="24"/>
          <w:szCs w:val="24"/>
          <w:lang w:val="et-EE"/>
        </w:rPr>
        <w:t>ja üheselt</w:t>
      </w:r>
      <w:r w:rsidR="00270FFF">
        <w:rPr>
          <w:rFonts w:ascii="Arial" w:hAnsi="Arial" w:cs="Arial"/>
          <w:b/>
          <w:bCs/>
          <w:sz w:val="24"/>
          <w:szCs w:val="24"/>
          <w:lang w:val="et-EE"/>
        </w:rPr>
        <w:t xml:space="preserve"> </w:t>
      </w:r>
      <w:r w:rsidR="008D09C3">
        <w:rPr>
          <w:rFonts w:ascii="Arial" w:hAnsi="Arial" w:cs="Arial"/>
          <w:b/>
          <w:bCs/>
          <w:sz w:val="24"/>
          <w:szCs w:val="24"/>
          <w:lang w:val="et-EE"/>
        </w:rPr>
        <w:t>mõistetavat l</w:t>
      </w:r>
      <w:r w:rsidR="001674AD">
        <w:rPr>
          <w:rFonts w:ascii="Arial" w:hAnsi="Arial" w:cs="Arial"/>
          <w:b/>
          <w:bCs/>
          <w:sz w:val="24"/>
          <w:szCs w:val="24"/>
          <w:lang w:val="et-EE"/>
        </w:rPr>
        <w:t>oetelu kehtestada, siis ei saa nõuda sellise loetelu järgimist ka ettevõtetelt.</w:t>
      </w:r>
      <w:r w:rsidR="00270FFF">
        <w:rPr>
          <w:rFonts w:ascii="Arial" w:hAnsi="Arial" w:cs="Arial"/>
          <w:b/>
          <w:bCs/>
          <w:sz w:val="24"/>
          <w:szCs w:val="24"/>
          <w:lang w:val="et-EE"/>
        </w:rPr>
        <w:t xml:space="preserve"> Õigusaktid peavad olema õigusselged.</w:t>
      </w:r>
      <w:r w:rsidR="00BA554D">
        <w:rPr>
          <w:rFonts w:ascii="Arial" w:hAnsi="Arial" w:cs="Arial"/>
          <w:b/>
          <w:bCs/>
          <w:sz w:val="24"/>
          <w:szCs w:val="24"/>
          <w:lang w:val="et-EE"/>
        </w:rPr>
        <w:t xml:space="preserve"> Vastasel korral ei ole võimalik hiljem kontrollida nende täitmist või see tekitab vaidlusi.</w:t>
      </w:r>
    </w:p>
    <w:p w14:paraId="3863A60A" w14:textId="61E5AA51" w:rsidR="009D06CA" w:rsidRDefault="009D06CA" w:rsidP="00BA554D">
      <w:pPr>
        <w:spacing w:before="120" w:after="120" w:line="240" w:lineRule="auto"/>
        <w:jc w:val="both"/>
        <w:rPr>
          <w:rFonts w:ascii="Arial" w:hAnsi="Arial" w:cs="Arial"/>
          <w:sz w:val="24"/>
          <w:szCs w:val="24"/>
          <w:lang w:val="et-EE"/>
        </w:rPr>
      </w:pPr>
    </w:p>
    <w:p w14:paraId="42C3D9B7" w14:textId="556AAE71" w:rsidR="009D06CA" w:rsidRPr="00DF0F29" w:rsidRDefault="009D06CA" w:rsidP="0010351E">
      <w:pPr>
        <w:spacing w:after="0" w:line="240" w:lineRule="auto"/>
        <w:jc w:val="both"/>
        <w:rPr>
          <w:rFonts w:ascii="Arial" w:hAnsi="Arial" w:cs="Arial"/>
          <w:sz w:val="24"/>
          <w:szCs w:val="24"/>
          <w:lang w:val="et-EE"/>
        </w:rPr>
      </w:pPr>
      <w:r>
        <w:rPr>
          <w:rFonts w:ascii="Arial" w:hAnsi="Arial" w:cs="Arial"/>
          <w:sz w:val="24"/>
          <w:szCs w:val="24"/>
          <w:lang w:val="et-EE"/>
        </w:rPr>
        <w:t xml:space="preserve">Loodame, et peate võimalikuks Kaubanduskoja </w:t>
      </w:r>
      <w:r w:rsidR="00691AD1">
        <w:rPr>
          <w:rFonts w:ascii="Arial" w:hAnsi="Arial" w:cs="Arial"/>
          <w:sz w:val="24"/>
          <w:szCs w:val="24"/>
          <w:lang w:val="et-EE"/>
        </w:rPr>
        <w:t>seisukohti</w:t>
      </w:r>
      <w:r>
        <w:rPr>
          <w:rFonts w:ascii="Arial" w:hAnsi="Arial" w:cs="Arial"/>
          <w:sz w:val="24"/>
          <w:szCs w:val="24"/>
          <w:lang w:val="et-EE"/>
        </w:rPr>
        <w:t xml:space="preserve"> arvesse võtta.</w:t>
      </w:r>
    </w:p>
    <w:p w14:paraId="10075D77" w14:textId="77777777" w:rsidR="00600864" w:rsidRPr="00DF0F29" w:rsidRDefault="00600864" w:rsidP="00BA554D">
      <w:pPr>
        <w:spacing w:before="120" w:after="120" w:line="240" w:lineRule="auto"/>
        <w:jc w:val="both"/>
        <w:rPr>
          <w:rFonts w:ascii="Arial" w:hAnsi="Arial" w:cs="Arial"/>
          <w:sz w:val="24"/>
          <w:szCs w:val="24"/>
          <w:lang w:val="et-EE"/>
        </w:rPr>
      </w:pPr>
    </w:p>
    <w:p w14:paraId="2EE408FC" w14:textId="77777777" w:rsidR="0010351E" w:rsidRPr="007B5AE4" w:rsidRDefault="0010351E" w:rsidP="0010351E">
      <w:pPr>
        <w:spacing w:after="0" w:line="240" w:lineRule="auto"/>
        <w:jc w:val="both"/>
        <w:rPr>
          <w:rFonts w:ascii="Arial" w:hAnsi="Arial" w:cs="Arial"/>
          <w:sz w:val="24"/>
          <w:szCs w:val="24"/>
          <w:lang w:val="et-EE" w:eastAsia="et-EE"/>
        </w:rPr>
      </w:pPr>
      <w:r w:rsidRPr="007B5AE4">
        <w:rPr>
          <w:rFonts w:ascii="Arial" w:hAnsi="Arial" w:cs="Arial"/>
          <w:sz w:val="24"/>
          <w:szCs w:val="24"/>
          <w:lang w:val="et-EE" w:eastAsia="et-EE"/>
        </w:rPr>
        <w:t>Lugupidamisega</w:t>
      </w:r>
    </w:p>
    <w:p w14:paraId="7D396AB5" w14:textId="77777777" w:rsidR="0010351E" w:rsidRPr="007B5AE4" w:rsidRDefault="0010351E" w:rsidP="0010351E">
      <w:pPr>
        <w:spacing w:after="0" w:line="240" w:lineRule="auto"/>
        <w:jc w:val="both"/>
        <w:rPr>
          <w:rFonts w:ascii="Arial" w:hAnsi="Arial" w:cs="Arial"/>
          <w:sz w:val="24"/>
          <w:szCs w:val="24"/>
          <w:lang w:val="et-EE" w:eastAsia="et-EE"/>
        </w:rPr>
      </w:pPr>
    </w:p>
    <w:p w14:paraId="1EBFA6AE" w14:textId="77777777" w:rsidR="0010351E" w:rsidRDefault="0010351E" w:rsidP="0010351E">
      <w:pPr>
        <w:spacing w:after="0" w:line="240" w:lineRule="auto"/>
        <w:jc w:val="both"/>
        <w:rPr>
          <w:rFonts w:ascii="Arial" w:hAnsi="Arial" w:cs="Arial"/>
          <w:sz w:val="24"/>
          <w:szCs w:val="24"/>
          <w:lang w:val="et-EE" w:eastAsia="et-EE"/>
        </w:rPr>
      </w:pPr>
    </w:p>
    <w:p w14:paraId="396A1DAE" w14:textId="77777777" w:rsidR="0010351E" w:rsidRPr="007B5AE4" w:rsidRDefault="0010351E" w:rsidP="0010351E">
      <w:pPr>
        <w:spacing w:after="0" w:line="240" w:lineRule="auto"/>
        <w:jc w:val="both"/>
        <w:rPr>
          <w:rFonts w:ascii="Arial" w:hAnsi="Arial" w:cs="Arial"/>
          <w:sz w:val="24"/>
          <w:szCs w:val="24"/>
          <w:lang w:val="et-EE" w:eastAsia="et-EE"/>
        </w:rPr>
      </w:pPr>
      <w:r w:rsidRPr="007B5AE4">
        <w:rPr>
          <w:rFonts w:ascii="Arial" w:hAnsi="Arial" w:cs="Arial"/>
          <w:sz w:val="24"/>
          <w:szCs w:val="24"/>
          <w:lang w:val="et-EE" w:eastAsia="et-EE"/>
        </w:rPr>
        <w:t>/allkirjastatud digitaalselt/</w:t>
      </w:r>
    </w:p>
    <w:p w14:paraId="37016617" w14:textId="77777777" w:rsidR="0010351E" w:rsidRPr="007B5AE4" w:rsidRDefault="0010351E" w:rsidP="0010351E">
      <w:pPr>
        <w:spacing w:after="0" w:line="240" w:lineRule="auto"/>
        <w:jc w:val="both"/>
        <w:rPr>
          <w:rFonts w:ascii="Arial" w:hAnsi="Arial" w:cs="Arial"/>
          <w:sz w:val="24"/>
          <w:szCs w:val="24"/>
          <w:lang w:val="et-EE" w:eastAsia="et-EE"/>
        </w:rPr>
      </w:pPr>
      <w:r w:rsidRPr="007B5AE4">
        <w:rPr>
          <w:rFonts w:ascii="Arial" w:hAnsi="Arial" w:cs="Arial"/>
          <w:sz w:val="24"/>
          <w:szCs w:val="24"/>
          <w:lang w:val="et-EE" w:eastAsia="et-EE"/>
        </w:rPr>
        <w:t>Mait Palts</w:t>
      </w:r>
    </w:p>
    <w:p w14:paraId="4BB65DF1" w14:textId="77777777" w:rsidR="0010351E" w:rsidRPr="007B5AE4" w:rsidRDefault="0010351E" w:rsidP="0010351E">
      <w:pPr>
        <w:spacing w:after="0" w:line="240" w:lineRule="auto"/>
        <w:jc w:val="both"/>
        <w:rPr>
          <w:rFonts w:ascii="Arial" w:hAnsi="Arial" w:cs="Arial"/>
          <w:sz w:val="24"/>
          <w:szCs w:val="24"/>
          <w:lang w:val="et-EE" w:eastAsia="et-EE"/>
        </w:rPr>
      </w:pPr>
      <w:r>
        <w:rPr>
          <w:rFonts w:ascii="Arial" w:hAnsi="Arial" w:cs="Arial"/>
          <w:sz w:val="24"/>
          <w:szCs w:val="24"/>
          <w:lang w:val="et-EE" w:eastAsia="et-EE"/>
        </w:rPr>
        <w:t>Eesti Kaubandus-Tööstuskoja p</w:t>
      </w:r>
      <w:r w:rsidRPr="007B5AE4">
        <w:rPr>
          <w:rFonts w:ascii="Arial" w:hAnsi="Arial" w:cs="Arial"/>
          <w:sz w:val="24"/>
          <w:szCs w:val="24"/>
          <w:lang w:val="et-EE" w:eastAsia="et-EE"/>
        </w:rPr>
        <w:t>eadirektor</w:t>
      </w:r>
    </w:p>
    <w:p w14:paraId="2E3EBB5F" w14:textId="77777777" w:rsidR="0010351E" w:rsidRDefault="0010351E" w:rsidP="0010351E">
      <w:pPr>
        <w:spacing w:after="0" w:line="240" w:lineRule="auto"/>
        <w:jc w:val="both"/>
        <w:rPr>
          <w:rFonts w:ascii="Arial" w:hAnsi="Arial" w:cs="Arial"/>
          <w:sz w:val="24"/>
          <w:szCs w:val="24"/>
          <w:lang w:val="et-EE" w:eastAsia="et-EE"/>
        </w:rPr>
      </w:pPr>
    </w:p>
    <w:p w14:paraId="37A6F6AA" w14:textId="77777777" w:rsidR="0010351E" w:rsidRDefault="0010351E" w:rsidP="0010351E">
      <w:pPr>
        <w:spacing w:after="0" w:line="240" w:lineRule="auto"/>
        <w:jc w:val="both"/>
        <w:rPr>
          <w:rFonts w:ascii="Arial" w:hAnsi="Arial" w:cs="Arial"/>
          <w:sz w:val="24"/>
          <w:szCs w:val="24"/>
          <w:lang w:val="et-EE" w:eastAsia="et-EE"/>
        </w:rPr>
      </w:pPr>
    </w:p>
    <w:p w14:paraId="1B51B8B8" w14:textId="77777777" w:rsidR="0010351E" w:rsidRPr="007B5AE4" w:rsidRDefault="0010351E" w:rsidP="0010351E">
      <w:pPr>
        <w:spacing w:after="0" w:line="240" w:lineRule="auto"/>
        <w:jc w:val="both"/>
        <w:rPr>
          <w:rFonts w:ascii="Arial" w:hAnsi="Arial" w:cs="Arial"/>
          <w:sz w:val="24"/>
          <w:szCs w:val="24"/>
          <w:lang w:val="et-EE" w:eastAsia="et-EE"/>
        </w:rPr>
      </w:pPr>
    </w:p>
    <w:p w14:paraId="29281FF8" w14:textId="77777777" w:rsidR="0010351E" w:rsidRPr="007B5AE4" w:rsidRDefault="0010351E" w:rsidP="0010351E">
      <w:pPr>
        <w:spacing w:after="0" w:line="240" w:lineRule="auto"/>
        <w:jc w:val="both"/>
        <w:rPr>
          <w:rFonts w:ascii="Arial" w:hAnsi="Arial" w:cs="Arial"/>
          <w:sz w:val="24"/>
          <w:szCs w:val="24"/>
          <w:lang w:val="et-EE" w:eastAsia="et-EE"/>
        </w:rPr>
      </w:pPr>
    </w:p>
    <w:p w14:paraId="035F3E9F" w14:textId="77777777" w:rsidR="0010351E" w:rsidRDefault="0010351E" w:rsidP="0010351E">
      <w:pPr>
        <w:spacing w:after="0" w:line="240" w:lineRule="auto"/>
        <w:jc w:val="both"/>
        <w:rPr>
          <w:rFonts w:ascii="Arial" w:hAnsi="Arial" w:cs="Arial"/>
          <w:sz w:val="24"/>
          <w:szCs w:val="24"/>
          <w:lang w:val="et-EE" w:eastAsia="et-EE"/>
        </w:rPr>
      </w:pPr>
    </w:p>
    <w:p w14:paraId="77F1FED9" w14:textId="77777777" w:rsidR="0010351E" w:rsidRDefault="0010351E" w:rsidP="0010351E">
      <w:pPr>
        <w:spacing w:after="0" w:line="240" w:lineRule="auto"/>
        <w:jc w:val="both"/>
        <w:rPr>
          <w:rFonts w:ascii="Arial" w:hAnsi="Arial" w:cs="Arial"/>
          <w:sz w:val="24"/>
          <w:szCs w:val="24"/>
          <w:lang w:val="et-EE" w:eastAsia="et-EE"/>
        </w:rPr>
      </w:pPr>
    </w:p>
    <w:p w14:paraId="19CAC7AA" w14:textId="77777777" w:rsidR="0010351E" w:rsidRDefault="0010351E" w:rsidP="0010351E">
      <w:pPr>
        <w:spacing w:after="0" w:line="240" w:lineRule="auto"/>
        <w:jc w:val="both"/>
        <w:rPr>
          <w:rFonts w:ascii="Arial" w:hAnsi="Arial" w:cs="Arial"/>
          <w:sz w:val="24"/>
          <w:szCs w:val="24"/>
          <w:lang w:val="et-EE" w:eastAsia="et-EE"/>
        </w:rPr>
      </w:pPr>
    </w:p>
    <w:p w14:paraId="135A8FEA" w14:textId="77777777" w:rsidR="0010351E" w:rsidRDefault="0010351E" w:rsidP="0010351E">
      <w:pPr>
        <w:spacing w:after="0" w:line="240" w:lineRule="auto"/>
        <w:jc w:val="both"/>
        <w:rPr>
          <w:rFonts w:ascii="Arial" w:hAnsi="Arial" w:cs="Arial"/>
          <w:sz w:val="24"/>
          <w:szCs w:val="24"/>
          <w:lang w:val="et-EE" w:eastAsia="et-EE"/>
        </w:rPr>
      </w:pPr>
    </w:p>
    <w:p w14:paraId="06C3B8AD" w14:textId="77777777" w:rsidR="00691AD1" w:rsidRDefault="00691AD1" w:rsidP="0010351E">
      <w:pPr>
        <w:spacing w:after="0" w:line="240" w:lineRule="auto"/>
        <w:jc w:val="both"/>
        <w:rPr>
          <w:rFonts w:ascii="Arial" w:hAnsi="Arial" w:cs="Arial"/>
          <w:sz w:val="24"/>
          <w:szCs w:val="24"/>
          <w:lang w:val="et-EE" w:eastAsia="et-EE"/>
        </w:rPr>
      </w:pPr>
    </w:p>
    <w:p w14:paraId="4967E534" w14:textId="77777777" w:rsidR="00691AD1" w:rsidRDefault="00691AD1" w:rsidP="0010351E">
      <w:pPr>
        <w:spacing w:after="0" w:line="240" w:lineRule="auto"/>
        <w:jc w:val="both"/>
        <w:rPr>
          <w:rFonts w:ascii="Arial" w:hAnsi="Arial" w:cs="Arial"/>
          <w:sz w:val="24"/>
          <w:szCs w:val="24"/>
          <w:lang w:val="et-EE" w:eastAsia="et-EE"/>
        </w:rPr>
      </w:pPr>
    </w:p>
    <w:p w14:paraId="28EA5901" w14:textId="77777777" w:rsidR="000830DF" w:rsidRDefault="0010351E" w:rsidP="0010351E">
      <w:pPr>
        <w:spacing w:after="0" w:line="240" w:lineRule="auto"/>
        <w:jc w:val="both"/>
        <w:rPr>
          <w:rFonts w:ascii="Arial" w:hAnsi="Arial" w:cs="Arial"/>
          <w:sz w:val="24"/>
          <w:szCs w:val="24"/>
          <w:lang w:val="et-EE" w:eastAsia="et-EE"/>
        </w:rPr>
      </w:pPr>
      <w:r w:rsidRPr="00D81519">
        <w:rPr>
          <w:rFonts w:ascii="Arial" w:hAnsi="Arial" w:cs="Arial"/>
          <w:sz w:val="24"/>
          <w:szCs w:val="24"/>
          <w:lang w:val="et-EE" w:eastAsia="et-EE"/>
        </w:rPr>
        <w:t xml:space="preserve">Marko Udras </w:t>
      </w:r>
    </w:p>
    <w:p w14:paraId="1682F45B" w14:textId="69E40142" w:rsidR="00600864" w:rsidRPr="00DF0F29" w:rsidRDefault="00000000" w:rsidP="0010351E">
      <w:pPr>
        <w:spacing w:after="0" w:line="240" w:lineRule="auto"/>
        <w:jc w:val="both"/>
        <w:rPr>
          <w:rFonts w:ascii="Arial" w:eastAsia="Times New Roman" w:hAnsi="Arial" w:cs="Arial"/>
          <w:sz w:val="24"/>
          <w:szCs w:val="24"/>
          <w:lang w:val="et-EE"/>
        </w:rPr>
      </w:pPr>
      <w:hyperlink r:id="rId10" w:history="1">
        <w:r w:rsidR="00F170E3" w:rsidRPr="006E02AE">
          <w:rPr>
            <w:rStyle w:val="Hperlink"/>
            <w:rFonts w:ascii="Arial" w:hAnsi="Arial" w:cs="Arial"/>
            <w:sz w:val="24"/>
            <w:szCs w:val="24"/>
            <w:lang w:val="et-EE" w:eastAsia="et-EE"/>
          </w:rPr>
          <w:t>marko.udras@koda.ee</w:t>
        </w:r>
      </w:hyperlink>
      <w:r w:rsidR="0010351E">
        <w:rPr>
          <w:rFonts w:ascii="Arial" w:hAnsi="Arial" w:cs="Arial"/>
          <w:sz w:val="24"/>
          <w:szCs w:val="24"/>
          <w:lang w:val="et-EE" w:eastAsia="et-EE"/>
        </w:rPr>
        <w:t xml:space="preserve"> </w:t>
      </w:r>
      <w:r w:rsidR="0010351E" w:rsidRPr="00D81519">
        <w:rPr>
          <w:rFonts w:ascii="Arial" w:hAnsi="Arial" w:cs="Arial"/>
          <w:sz w:val="24"/>
          <w:szCs w:val="24"/>
          <w:lang w:val="et-EE" w:eastAsia="et-EE"/>
        </w:rPr>
        <w:t>6040070</w:t>
      </w:r>
    </w:p>
    <w:sectPr w:rsidR="00600864" w:rsidRPr="00DF0F29" w:rsidSect="003A75DA">
      <w:headerReference w:type="default" r:id="rId11"/>
      <w:footerReference w:type="default" r:id="rId12"/>
      <w:headerReference w:type="first" r:id="rId13"/>
      <w:footerReference w:type="first" r:id="rId14"/>
      <w:pgSz w:w="11906" w:h="16838" w:code="9"/>
      <w:pgMar w:top="2552" w:right="1321" w:bottom="1321" w:left="1321" w:header="79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03137D" w14:textId="77777777" w:rsidR="00650B3C" w:rsidRDefault="00650B3C" w:rsidP="00820313">
      <w:pPr>
        <w:spacing w:after="0" w:line="240" w:lineRule="auto"/>
      </w:pPr>
      <w:r>
        <w:separator/>
      </w:r>
    </w:p>
  </w:endnote>
  <w:endnote w:type="continuationSeparator" w:id="0">
    <w:p w14:paraId="7DFDFCCA" w14:textId="77777777" w:rsidR="00650B3C" w:rsidRDefault="00650B3C" w:rsidP="008203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INPro">
    <w:panose1 w:val="020B0504020101020102"/>
    <w:charset w:val="00"/>
    <w:family w:val="swiss"/>
    <w:notTrueType/>
    <w:pitch w:val="variable"/>
    <w:sig w:usb0="A00002BF" w:usb1="4000207B" w:usb2="00000008"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6E5B8" w14:textId="77777777" w:rsidR="001F7C7F" w:rsidRPr="00FF0918" w:rsidRDefault="001F7C7F" w:rsidP="001F7C7F">
    <w:pPr>
      <w:pStyle w:val="Jalus"/>
      <w:rPr>
        <w:rFonts w:ascii="Arial" w:hAnsi="Arial" w:cs="Arial"/>
        <w:b/>
        <w:sz w:val="14"/>
        <w:szCs w:val="14"/>
      </w:rPr>
    </w:pPr>
    <w:r w:rsidRPr="00FF0918">
      <w:rPr>
        <w:rFonts w:ascii="Arial" w:hAnsi="Arial" w:cs="Arial"/>
        <w:b/>
        <w:sz w:val="14"/>
        <w:szCs w:val="14"/>
      </w:rPr>
      <w:t>ESTONIAN CHAMBER OF COMMERCE AND INDUSTRY / ЭСТОНСКАЯ ТОРГОВО - ПРОМЫШЛЕННАЯ ПАЛАТА</w:t>
    </w:r>
  </w:p>
  <w:p w14:paraId="19976CC2" w14:textId="77777777" w:rsidR="001F7C7F" w:rsidRPr="00FF0918" w:rsidRDefault="001F7C7F">
    <w:pPr>
      <w:pStyle w:val="Jalus"/>
      <w:rPr>
        <w:rFonts w:ascii="Arial" w:hAnsi="Arial" w:cs="Arial"/>
        <w:sz w:val="14"/>
        <w:szCs w:val="14"/>
      </w:rPr>
    </w:pPr>
    <w:r w:rsidRPr="00FF0918">
      <w:rPr>
        <w:rFonts w:ascii="Arial" w:hAnsi="Arial" w:cs="Arial"/>
        <w:sz w:val="14"/>
        <w:szCs w:val="14"/>
      </w:rPr>
      <w:t>TOOM-KOOLI 17, 10130 TALLINN / REG NO 80004733 / TEL: +372 604 0060 / KODA@KODA.EE / WWW.KODA.EE / WWW.ENTERPRISE-EUROPE.EE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8179E" w14:textId="77777777" w:rsidR="00820313" w:rsidRPr="00BF3929" w:rsidRDefault="00820313" w:rsidP="00FD0CDE">
    <w:pPr>
      <w:pStyle w:val="Jalus"/>
      <w:rPr>
        <w:rFonts w:ascii="Arial" w:hAnsi="Arial" w:cs="Arial"/>
        <w:b/>
        <w:sz w:val="14"/>
        <w:szCs w:val="14"/>
      </w:rPr>
    </w:pPr>
    <w:r w:rsidRPr="00BF3929">
      <w:rPr>
        <w:rFonts w:ascii="Arial" w:hAnsi="Arial" w:cs="Arial"/>
        <w:b/>
        <w:sz w:val="14"/>
        <w:szCs w:val="14"/>
      </w:rPr>
      <w:t>ESTONIAN CHAMBER OF COMMERCE AND INDUSTRY / ЭСТОНСКАЯ ТОРГОВО - ПРОМЫШЛЕННАЯ ПАЛАТА</w:t>
    </w:r>
  </w:p>
  <w:p w14:paraId="559ECA1C" w14:textId="47CA8E2E" w:rsidR="00820313" w:rsidRPr="00BF3929" w:rsidRDefault="00820313" w:rsidP="00FD0CDE">
    <w:pPr>
      <w:pStyle w:val="Jalus"/>
      <w:rPr>
        <w:rFonts w:ascii="Arial" w:hAnsi="Arial" w:cs="Arial"/>
        <w:sz w:val="14"/>
        <w:szCs w:val="14"/>
      </w:rPr>
    </w:pPr>
    <w:r w:rsidRPr="00BF3929">
      <w:rPr>
        <w:rFonts w:ascii="Arial" w:hAnsi="Arial" w:cs="Arial"/>
        <w:sz w:val="14"/>
        <w:szCs w:val="14"/>
      </w:rPr>
      <w:t xml:space="preserve">TOOM-KOOLI 17, 10130 TALLINN / REG NO 80004733 / TEL: +372 604 0060 / KODA@KODA.EE / WWW.KODA.EE / </w:t>
    </w:r>
    <w:hyperlink r:id="rId1" w:history="1">
      <w:r w:rsidR="00A61801" w:rsidRPr="00BD2508">
        <w:rPr>
          <w:rStyle w:val="Hperlink"/>
          <w:rFonts w:ascii="Arial" w:hAnsi="Arial" w:cs="Arial"/>
          <w:sz w:val="14"/>
          <w:szCs w:val="14"/>
        </w:rPr>
        <w:t>WWW.ENTERPRISE-EUROPE.EE</w:t>
      </w:r>
    </w:hyperlink>
    <w:r w:rsidR="00A61801">
      <w:rPr>
        <w:rFonts w:ascii="Arial" w:hAnsi="Arial" w:cs="Arial"/>
        <w:sz w:val="14"/>
        <w:szCs w:val="14"/>
      </w:rPr>
      <w:br/>
    </w:r>
    <w:r w:rsidR="00F56525" w:rsidRPr="004730FA">
      <w:rPr>
        <w:rFonts w:ascii="Arial" w:hAnsi="Arial" w:cs="Arial"/>
        <w:color w:val="808080" w:themeColor="background1" w:themeShade="80"/>
        <w:sz w:val="14"/>
        <w:szCs w:val="14"/>
      </w:rPr>
      <w:br/>
    </w:r>
    <w:r w:rsidR="00FA6EF2" w:rsidRPr="004730FA">
      <w:rPr>
        <w:color w:val="808080" w:themeColor="background1" w:themeShade="80"/>
        <w:sz w:val="14"/>
        <w:szCs w:val="20"/>
      </w:rPr>
      <w:t>EESTI KAUBANDUS-TÖÖSTUSKODA ON SUURIM ETTEVÕTJAID ESINDAV ORGANISATSIOON EESTIS, KUHU KUULUB LIGI 3</w:t>
    </w:r>
    <w:r w:rsidR="00EB5AA4">
      <w:rPr>
        <w:color w:val="808080" w:themeColor="background1" w:themeShade="80"/>
        <w:sz w:val="14"/>
        <w:szCs w:val="20"/>
      </w:rPr>
      <w:t>6</w:t>
    </w:r>
    <w:r w:rsidR="00FA6EF2" w:rsidRPr="004730FA">
      <w:rPr>
        <w:color w:val="808080" w:themeColor="background1" w:themeShade="80"/>
        <w:sz w:val="14"/>
        <w:szCs w:val="20"/>
      </w:rPr>
      <w:t xml:space="preserve">00 ETTEVÕTET, KELLEST ENAMUS ON VÄIKESE- JA KESKMISE SUURUSEGA. KAUBANDUSKOJA LIIKMED ANNAVAD ÜLE 40 PROTSENDI EESTI </w:t>
    </w:r>
    <w:r w:rsidR="00EC4103">
      <w:rPr>
        <w:color w:val="808080" w:themeColor="background1" w:themeShade="80"/>
        <w:sz w:val="14"/>
        <w:szCs w:val="20"/>
      </w:rPr>
      <w:t xml:space="preserve">ETTEVÕTETE </w:t>
    </w:r>
    <w:r w:rsidR="00FA6EF2" w:rsidRPr="004730FA">
      <w:rPr>
        <w:color w:val="808080" w:themeColor="background1" w:themeShade="80"/>
        <w:sz w:val="14"/>
        <w:szCs w:val="20"/>
      </w:rPr>
      <w:t xml:space="preserve">KÄIBEST, LIGI 40 PROTSENTI PUHASKASUMIST JA TASUVAD ÜLE 40 PROTSENDI RIIKLIKEST MAKSUDEST. KAUBANDUSKODA ESINDAB JA KAITSEB </w:t>
    </w:r>
    <w:r w:rsidR="00476A99" w:rsidRPr="004730FA">
      <w:rPr>
        <w:color w:val="808080" w:themeColor="background1" w:themeShade="80"/>
        <w:sz w:val="14"/>
        <w:szCs w:val="20"/>
      </w:rPr>
      <w:t xml:space="preserve">KÕIGI </w:t>
    </w:r>
    <w:r w:rsidR="00FA6EF2" w:rsidRPr="004730FA">
      <w:rPr>
        <w:color w:val="808080" w:themeColor="background1" w:themeShade="80"/>
        <w:sz w:val="14"/>
        <w:szCs w:val="20"/>
      </w:rPr>
      <w:t>ETTEVÕTJATE ÜHISHUVE NING ON MITTERIIKLIK JA APOLIITILINE ORGANISATSIOON.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6B89DD" w14:textId="77777777" w:rsidR="00650B3C" w:rsidRDefault="00650B3C" w:rsidP="00820313">
      <w:pPr>
        <w:spacing w:after="0" w:line="240" w:lineRule="auto"/>
      </w:pPr>
      <w:r>
        <w:separator/>
      </w:r>
    </w:p>
  </w:footnote>
  <w:footnote w:type="continuationSeparator" w:id="0">
    <w:p w14:paraId="5714D53E" w14:textId="77777777" w:rsidR="00650B3C" w:rsidRDefault="00650B3C" w:rsidP="008203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48833" w14:textId="77777777" w:rsidR="00C0691C" w:rsidRDefault="00860CB8" w:rsidP="00C0691C">
    <w:pPr>
      <w:pStyle w:val="Pis"/>
    </w:pPr>
    <w:r w:rsidRPr="00D30DF8">
      <w:rPr>
        <w:noProof/>
        <w:lang w:val="et-EE" w:eastAsia="et-EE"/>
      </w:rPr>
      <w:drawing>
        <wp:anchor distT="0" distB="0" distL="114300" distR="114300" simplePos="0" relativeHeight="251667456" behindDoc="0" locked="0" layoutInCell="1" allowOverlap="1" wp14:anchorId="51516D80" wp14:editId="3BE2A8AF">
          <wp:simplePos x="0" y="0"/>
          <wp:positionH relativeFrom="page">
            <wp:posOffset>1172210</wp:posOffset>
          </wp:positionH>
          <wp:positionV relativeFrom="page">
            <wp:posOffset>503555</wp:posOffset>
          </wp:positionV>
          <wp:extent cx="1893600" cy="720000"/>
          <wp:effectExtent l="0" t="0" r="0" b="444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3600" cy="720000"/>
                  </a:xfrm>
                  <a:prstGeom prst="rect">
                    <a:avLst/>
                  </a:prstGeom>
                  <a:noFill/>
                  <a:ln>
                    <a:noFill/>
                  </a:ln>
                </pic:spPr>
              </pic:pic>
            </a:graphicData>
          </a:graphic>
        </wp:anchor>
      </w:drawing>
    </w:r>
    <w:r w:rsidR="006A45F2">
      <w:rPr>
        <w:noProof/>
        <w:lang w:val="et-EE" w:eastAsia="et-EE"/>
      </w:rPr>
      <mc:AlternateContent>
        <mc:Choice Requires="wpg">
          <w:drawing>
            <wp:anchor distT="0" distB="0" distL="114300" distR="114300" simplePos="0" relativeHeight="251663360" behindDoc="0" locked="0" layoutInCell="1" allowOverlap="1" wp14:anchorId="016E0B9C" wp14:editId="75BFFE77">
              <wp:simplePos x="0" y="0"/>
              <wp:positionH relativeFrom="page">
                <wp:posOffset>885825</wp:posOffset>
              </wp:positionH>
              <wp:positionV relativeFrom="page">
                <wp:posOffset>709295</wp:posOffset>
              </wp:positionV>
              <wp:extent cx="53975" cy="222885"/>
              <wp:effectExtent l="0" t="0" r="3175" b="571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975" cy="222885"/>
                        <a:chOff x="0" y="0"/>
                        <a:chExt cx="54000" cy="223267"/>
                      </a:xfrm>
                    </wpg:grpSpPr>
                    <wps:wsp>
                      <wps:cNvPr id="2" name="Rectangle 2"/>
                      <wps:cNvSpPr/>
                      <wps:spPr>
                        <a:xfrm>
                          <a:off x="0" y="0"/>
                          <a:ext cx="54000" cy="111600"/>
                        </a:xfrm>
                        <a:prstGeom prst="rect">
                          <a:avLst/>
                        </a:prstGeom>
                        <a:solidFill>
                          <a:srgbClr val="00ADE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a:off x="0" y="111667"/>
                          <a:ext cx="54000" cy="111600"/>
                        </a:xfrm>
                        <a:prstGeom prst="rect">
                          <a:avLst/>
                        </a:prstGeom>
                        <a:solidFill>
                          <a:srgbClr val="2F333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6BF044C" id="Group 1" o:spid="_x0000_s1026" style="position:absolute;margin-left:69.75pt;margin-top:55.85pt;width:4.25pt;height:17.55pt;z-index:251663360;mso-position-horizontal-relative:page;mso-position-vertical-relative:page;mso-width-relative:margin;mso-height-relative:margin" coordsize="54000,2232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">
              <v:rect id="Rectangle 2" o:spid="_x0000_s1027" style="position:absolute;width:54000;height:111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" fillcolor="#00adef" stroked="f" strokeweight="1pt"/>
              <v:rect id="Rectangle 6" o:spid="_x0000_s1028" style="position:absolute;top:111667;width:54000;height:111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" fillcolor="#2f3333" stroked="f" strokeweight="1pt"/>
              <w10:wrap anchorx="page" anchory="page"/>
            </v:group>
          </w:pict>
        </mc:Fallback>
      </mc:AlternateContent>
    </w:r>
  </w:p>
  <w:p w14:paraId="0929EE17" w14:textId="77777777" w:rsidR="001F7C7F" w:rsidRPr="00C0691C" w:rsidRDefault="001F7C7F" w:rsidP="00C0691C">
    <w:pPr>
      <w:pStyle w:val="Pi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E73AD" w14:textId="77777777" w:rsidR="00973D85" w:rsidRDefault="00D30DF8">
    <w:pPr>
      <w:pStyle w:val="Pis"/>
    </w:pPr>
    <w:r w:rsidRPr="00D30DF8">
      <w:rPr>
        <w:noProof/>
        <w:lang w:val="et-EE" w:eastAsia="et-EE"/>
      </w:rPr>
      <w:drawing>
        <wp:anchor distT="0" distB="0" distL="114300" distR="114300" simplePos="0" relativeHeight="251665408" behindDoc="0" locked="0" layoutInCell="1" allowOverlap="1" wp14:anchorId="61920E2B" wp14:editId="3B36856D">
          <wp:simplePos x="0" y="0"/>
          <wp:positionH relativeFrom="page">
            <wp:posOffset>1134110</wp:posOffset>
          </wp:positionH>
          <wp:positionV relativeFrom="page">
            <wp:posOffset>467995</wp:posOffset>
          </wp:positionV>
          <wp:extent cx="1893600" cy="720000"/>
          <wp:effectExtent l="0" t="0" r="0" b="444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3600" cy="720000"/>
                  </a:xfrm>
                  <a:prstGeom prst="rect">
                    <a:avLst/>
                  </a:prstGeom>
                  <a:noFill/>
                  <a:ln>
                    <a:noFill/>
                  </a:ln>
                </pic:spPr>
              </pic:pic>
            </a:graphicData>
          </a:graphic>
        </wp:anchor>
      </w:drawing>
    </w:r>
    <w:r w:rsidR="006A45F2">
      <w:rPr>
        <w:noProof/>
        <w:lang w:val="et-EE" w:eastAsia="et-EE"/>
      </w:rPr>
      <mc:AlternateContent>
        <mc:Choice Requires="wpg">
          <w:drawing>
            <wp:anchor distT="0" distB="0" distL="114300" distR="114300" simplePos="0" relativeHeight="251659264" behindDoc="0" locked="0" layoutInCell="1" allowOverlap="1" wp14:anchorId="35A97F77" wp14:editId="428BBC0A">
              <wp:simplePos x="0" y="0"/>
              <wp:positionH relativeFrom="page">
                <wp:posOffset>885825</wp:posOffset>
              </wp:positionH>
              <wp:positionV relativeFrom="page">
                <wp:posOffset>709295</wp:posOffset>
              </wp:positionV>
              <wp:extent cx="53975" cy="222885"/>
              <wp:effectExtent l="0" t="0" r="3175" b="5715"/>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975" cy="222885"/>
                        <a:chOff x="0" y="0"/>
                        <a:chExt cx="54000" cy="223267"/>
                      </a:xfrm>
                    </wpg:grpSpPr>
                    <wps:wsp>
                      <wps:cNvPr id="3" name="Rectangle 3"/>
                      <wps:cNvSpPr/>
                      <wps:spPr>
                        <a:xfrm>
                          <a:off x="0" y="0"/>
                          <a:ext cx="54000" cy="111600"/>
                        </a:xfrm>
                        <a:prstGeom prst="rect">
                          <a:avLst/>
                        </a:prstGeom>
                        <a:solidFill>
                          <a:srgbClr val="00ADE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ectangle 4"/>
                      <wps:cNvSpPr/>
                      <wps:spPr>
                        <a:xfrm>
                          <a:off x="0" y="111667"/>
                          <a:ext cx="54000" cy="111600"/>
                        </a:xfrm>
                        <a:prstGeom prst="rect">
                          <a:avLst/>
                        </a:prstGeom>
                        <a:solidFill>
                          <a:srgbClr val="2F333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72C3DC3" id="Group 5" o:spid="_x0000_s1026" style="position:absolute;margin-left:69.75pt;margin-top:55.85pt;width:4.25pt;height:17.55pt;z-index:251659264;mso-position-horizontal-relative:page;mso-position-vertical-relative:page;mso-width-relative:margin;mso-height-relative:margin" coordsize="54000,2232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">
              <v:rect id="Rectangle 3" o:spid="_x0000_s1027" style="position:absolute;width:54000;height:111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" fillcolor="#00adef" stroked="f" strokeweight="1pt"/>
              <v:rect id="Rectangle 4" o:spid="_x0000_s1028" style="position:absolute;top:111667;width:54000;height:111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" fillcolor="#2f3333" stroked="f" strokeweight="1pt"/>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04CA6"/>
    <w:multiLevelType w:val="hybridMultilevel"/>
    <w:tmpl w:val="9B7EB85A"/>
    <w:lvl w:ilvl="0" w:tplc="04250019">
      <w:start w:val="1"/>
      <w:numFmt w:val="lowerLetter"/>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04D645EC"/>
    <w:multiLevelType w:val="hybridMultilevel"/>
    <w:tmpl w:val="B2A6264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124B0BA4"/>
    <w:multiLevelType w:val="multilevel"/>
    <w:tmpl w:val="75444E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5A33094"/>
    <w:multiLevelType w:val="hybridMultilevel"/>
    <w:tmpl w:val="A1A01872"/>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21735E6C"/>
    <w:multiLevelType w:val="hybridMultilevel"/>
    <w:tmpl w:val="4F1C6F22"/>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27830E81"/>
    <w:multiLevelType w:val="hybridMultilevel"/>
    <w:tmpl w:val="4E56A43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29642784"/>
    <w:multiLevelType w:val="multilevel"/>
    <w:tmpl w:val="4A2622C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15:restartNumberingAfterBreak="0">
    <w:nsid w:val="3EE64CEB"/>
    <w:multiLevelType w:val="hybridMultilevel"/>
    <w:tmpl w:val="6608DFC4"/>
    <w:lvl w:ilvl="0" w:tplc="04250011">
      <w:start w:val="1"/>
      <w:numFmt w:val="decimal"/>
      <w:lvlText w:val="%1)"/>
      <w:lvlJc w:val="left"/>
      <w:pPr>
        <w:ind w:left="720" w:hanging="360"/>
      </w:p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42475A24"/>
    <w:multiLevelType w:val="hybridMultilevel"/>
    <w:tmpl w:val="D0C491B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473448F4"/>
    <w:multiLevelType w:val="hybridMultilevel"/>
    <w:tmpl w:val="CB90D1F2"/>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4AF02EFE"/>
    <w:multiLevelType w:val="hybridMultilevel"/>
    <w:tmpl w:val="17C2AEBE"/>
    <w:lvl w:ilvl="0" w:tplc="04250017">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4BB702D5"/>
    <w:multiLevelType w:val="hybridMultilevel"/>
    <w:tmpl w:val="19B24982"/>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4BEE1FE3"/>
    <w:multiLevelType w:val="hybridMultilevel"/>
    <w:tmpl w:val="73D8B140"/>
    <w:lvl w:ilvl="0" w:tplc="04250017">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4EB66E4B"/>
    <w:multiLevelType w:val="multilevel"/>
    <w:tmpl w:val="1344701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57CE4647"/>
    <w:multiLevelType w:val="hybridMultilevel"/>
    <w:tmpl w:val="7ED2A28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5" w15:restartNumberingAfterBreak="0">
    <w:nsid w:val="6333713A"/>
    <w:multiLevelType w:val="hybridMultilevel"/>
    <w:tmpl w:val="F2E4950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6" w15:restartNumberingAfterBreak="0">
    <w:nsid w:val="67A85C07"/>
    <w:multiLevelType w:val="multilevel"/>
    <w:tmpl w:val="6FA68D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6ACC5D99"/>
    <w:multiLevelType w:val="hybridMultilevel"/>
    <w:tmpl w:val="F4A28C62"/>
    <w:lvl w:ilvl="0" w:tplc="04250017">
      <w:start w:val="1"/>
      <w:numFmt w:val="lowerLetter"/>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775E2BF4"/>
    <w:multiLevelType w:val="hybridMultilevel"/>
    <w:tmpl w:val="0BE6DC04"/>
    <w:lvl w:ilvl="0" w:tplc="BC98BDE2">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9" w15:restartNumberingAfterBreak="0">
    <w:nsid w:val="7E850A58"/>
    <w:multiLevelType w:val="hybridMultilevel"/>
    <w:tmpl w:val="11DA462E"/>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0" w15:restartNumberingAfterBreak="0">
    <w:nsid w:val="7E9A216D"/>
    <w:multiLevelType w:val="hybridMultilevel"/>
    <w:tmpl w:val="297E40A4"/>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48158456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96188549">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07886018">
    <w:abstractNumId w:val="3"/>
  </w:num>
  <w:num w:numId="4" w16cid:durableId="615252458">
    <w:abstractNumId w:val="7"/>
  </w:num>
  <w:num w:numId="5" w16cid:durableId="1853840272">
    <w:abstractNumId w:val="0"/>
  </w:num>
  <w:num w:numId="6" w16cid:durableId="15080675">
    <w:abstractNumId w:val="8"/>
  </w:num>
  <w:num w:numId="7" w16cid:durableId="4747923">
    <w:abstractNumId w:val="19"/>
  </w:num>
  <w:num w:numId="8" w16cid:durableId="199588228">
    <w:abstractNumId w:val="4"/>
  </w:num>
  <w:num w:numId="9" w16cid:durableId="1208374726">
    <w:abstractNumId w:val="18"/>
  </w:num>
  <w:num w:numId="10" w16cid:durableId="100422914">
    <w:abstractNumId w:val="6"/>
  </w:num>
  <w:num w:numId="11" w16cid:durableId="77409204">
    <w:abstractNumId w:val="16"/>
  </w:num>
  <w:num w:numId="12" w16cid:durableId="1546484757">
    <w:abstractNumId w:val="20"/>
  </w:num>
  <w:num w:numId="13" w16cid:durableId="2104757341">
    <w:abstractNumId w:val="10"/>
  </w:num>
  <w:num w:numId="14" w16cid:durableId="1470629173">
    <w:abstractNumId w:val="17"/>
  </w:num>
  <w:num w:numId="15" w16cid:durableId="1284651586">
    <w:abstractNumId w:val="12"/>
  </w:num>
  <w:num w:numId="16" w16cid:durableId="1171918550">
    <w:abstractNumId w:val="11"/>
  </w:num>
  <w:num w:numId="17" w16cid:durableId="236401212">
    <w:abstractNumId w:val="15"/>
  </w:num>
  <w:num w:numId="18" w16cid:durableId="856432896">
    <w:abstractNumId w:val="9"/>
  </w:num>
  <w:num w:numId="19" w16cid:durableId="30149331">
    <w:abstractNumId w:val="1"/>
  </w:num>
  <w:num w:numId="20" w16cid:durableId="911965770">
    <w:abstractNumId w:val="5"/>
  </w:num>
  <w:num w:numId="21" w16cid:durableId="700846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96D"/>
    <w:rsid w:val="00002E8F"/>
    <w:rsid w:val="00003683"/>
    <w:rsid w:val="0000584B"/>
    <w:rsid w:val="000148A4"/>
    <w:rsid w:val="00017093"/>
    <w:rsid w:val="00017E12"/>
    <w:rsid w:val="00025BC4"/>
    <w:rsid w:val="0003000A"/>
    <w:rsid w:val="00032329"/>
    <w:rsid w:val="00034C59"/>
    <w:rsid w:val="00037732"/>
    <w:rsid w:val="00037932"/>
    <w:rsid w:val="0004156B"/>
    <w:rsid w:val="00042844"/>
    <w:rsid w:val="00043FF8"/>
    <w:rsid w:val="00045180"/>
    <w:rsid w:val="0005122D"/>
    <w:rsid w:val="00052E36"/>
    <w:rsid w:val="00056A61"/>
    <w:rsid w:val="00061CE8"/>
    <w:rsid w:val="00075F48"/>
    <w:rsid w:val="00081B03"/>
    <w:rsid w:val="000830DF"/>
    <w:rsid w:val="00086563"/>
    <w:rsid w:val="0008663F"/>
    <w:rsid w:val="00094529"/>
    <w:rsid w:val="000A16DC"/>
    <w:rsid w:val="000A44FF"/>
    <w:rsid w:val="000B22C8"/>
    <w:rsid w:val="000C3F3B"/>
    <w:rsid w:val="000C4BF1"/>
    <w:rsid w:val="000D585B"/>
    <w:rsid w:val="000E07FD"/>
    <w:rsid w:val="000E192D"/>
    <w:rsid w:val="000E2340"/>
    <w:rsid w:val="000E5704"/>
    <w:rsid w:val="000E635A"/>
    <w:rsid w:val="000E7BCC"/>
    <w:rsid w:val="000F1166"/>
    <w:rsid w:val="000F6845"/>
    <w:rsid w:val="0010351E"/>
    <w:rsid w:val="001056AE"/>
    <w:rsid w:val="001070DA"/>
    <w:rsid w:val="00116016"/>
    <w:rsid w:val="00117FF7"/>
    <w:rsid w:val="0012020F"/>
    <w:rsid w:val="00127014"/>
    <w:rsid w:val="001274ED"/>
    <w:rsid w:val="00127EC0"/>
    <w:rsid w:val="0013144B"/>
    <w:rsid w:val="00131F93"/>
    <w:rsid w:val="0014352A"/>
    <w:rsid w:val="0015059C"/>
    <w:rsid w:val="0015083F"/>
    <w:rsid w:val="001526D8"/>
    <w:rsid w:val="00153016"/>
    <w:rsid w:val="001570D9"/>
    <w:rsid w:val="00157AE0"/>
    <w:rsid w:val="0016022D"/>
    <w:rsid w:val="00160DA4"/>
    <w:rsid w:val="00162533"/>
    <w:rsid w:val="00162AD2"/>
    <w:rsid w:val="001674AD"/>
    <w:rsid w:val="00172680"/>
    <w:rsid w:val="00172684"/>
    <w:rsid w:val="00174F94"/>
    <w:rsid w:val="00177795"/>
    <w:rsid w:val="00187592"/>
    <w:rsid w:val="001A129C"/>
    <w:rsid w:val="001A3EC6"/>
    <w:rsid w:val="001A7C7E"/>
    <w:rsid w:val="001B15C8"/>
    <w:rsid w:val="001B1E03"/>
    <w:rsid w:val="001B78BC"/>
    <w:rsid w:val="001C3745"/>
    <w:rsid w:val="001C4788"/>
    <w:rsid w:val="001C7BA4"/>
    <w:rsid w:val="001D1194"/>
    <w:rsid w:val="001D2F1A"/>
    <w:rsid w:val="001D6DBF"/>
    <w:rsid w:val="001D753D"/>
    <w:rsid w:val="001F5A82"/>
    <w:rsid w:val="001F7C7F"/>
    <w:rsid w:val="00202075"/>
    <w:rsid w:val="002078B5"/>
    <w:rsid w:val="002078F0"/>
    <w:rsid w:val="00207F9F"/>
    <w:rsid w:val="0021266C"/>
    <w:rsid w:val="00215DDE"/>
    <w:rsid w:val="00216E0A"/>
    <w:rsid w:val="002270DF"/>
    <w:rsid w:val="002271E7"/>
    <w:rsid w:val="00230DED"/>
    <w:rsid w:val="00232D95"/>
    <w:rsid w:val="00236871"/>
    <w:rsid w:val="00241A11"/>
    <w:rsid w:val="002472FC"/>
    <w:rsid w:val="0025346E"/>
    <w:rsid w:val="00255F45"/>
    <w:rsid w:val="00256532"/>
    <w:rsid w:val="002624E5"/>
    <w:rsid w:val="0026401D"/>
    <w:rsid w:val="002700EF"/>
    <w:rsid w:val="00270FFF"/>
    <w:rsid w:val="002752AC"/>
    <w:rsid w:val="00284F07"/>
    <w:rsid w:val="00291508"/>
    <w:rsid w:val="002949A5"/>
    <w:rsid w:val="0029623D"/>
    <w:rsid w:val="002A0BF4"/>
    <w:rsid w:val="002A5F93"/>
    <w:rsid w:val="002B2966"/>
    <w:rsid w:val="002B2E92"/>
    <w:rsid w:val="002C2571"/>
    <w:rsid w:val="002C356D"/>
    <w:rsid w:val="002C4DFB"/>
    <w:rsid w:val="002C6CC8"/>
    <w:rsid w:val="002C7270"/>
    <w:rsid w:val="002D2682"/>
    <w:rsid w:val="002E3309"/>
    <w:rsid w:val="002E7E88"/>
    <w:rsid w:val="002F0F72"/>
    <w:rsid w:val="002F1E7F"/>
    <w:rsid w:val="002F3856"/>
    <w:rsid w:val="00302CE9"/>
    <w:rsid w:val="003074F0"/>
    <w:rsid w:val="00312CB7"/>
    <w:rsid w:val="00317F9D"/>
    <w:rsid w:val="00322202"/>
    <w:rsid w:val="003261AD"/>
    <w:rsid w:val="003263B2"/>
    <w:rsid w:val="00332069"/>
    <w:rsid w:val="003337BA"/>
    <w:rsid w:val="00340C8B"/>
    <w:rsid w:val="00343096"/>
    <w:rsid w:val="003472E3"/>
    <w:rsid w:val="00353980"/>
    <w:rsid w:val="00356379"/>
    <w:rsid w:val="00386C5D"/>
    <w:rsid w:val="0039007F"/>
    <w:rsid w:val="00390332"/>
    <w:rsid w:val="00391D60"/>
    <w:rsid w:val="00396390"/>
    <w:rsid w:val="00396412"/>
    <w:rsid w:val="003A233C"/>
    <w:rsid w:val="003A3E7F"/>
    <w:rsid w:val="003A4680"/>
    <w:rsid w:val="003A50EE"/>
    <w:rsid w:val="003A5200"/>
    <w:rsid w:val="003A654C"/>
    <w:rsid w:val="003A7507"/>
    <w:rsid w:val="003A75DA"/>
    <w:rsid w:val="003B2406"/>
    <w:rsid w:val="003B6E12"/>
    <w:rsid w:val="003E10BF"/>
    <w:rsid w:val="003E469B"/>
    <w:rsid w:val="003E70F0"/>
    <w:rsid w:val="00401186"/>
    <w:rsid w:val="00405F8D"/>
    <w:rsid w:val="00407010"/>
    <w:rsid w:val="00410492"/>
    <w:rsid w:val="004126CD"/>
    <w:rsid w:val="00417027"/>
    <w:rsid w:val="00417C0F"/>
    <w:rsid w:val="00417C2B"/>
    <w:rsid w:val="004212FC"/>
    <w:rsid w:val="0042290F"/>
    <w:rsid w:val="00426E58"/>
    <w:rsid w:val="0044025D"/>
    <w:rsid w:val="0044657D"/>
    <w:rsid w:val="0044672C"/>
    <w:rsid w:val="00450C5C"/>
    <w:rsid w:val="00454EC3"/>
    <w:rsid w:val="00456D7B"/>
    <w:rsid w:val="00464DF3"/>
    <w:rsid w:val="00466D87"/>
    <w:rsid w:val="00472F7B"/>
    <w:rsid w:val="004730FA"/>
    <w:rsid w:val="00476A99"/>
    <w:rsid w:val="004818D7"/>
    <w:rsid w:val="00486604"/>
    <w:rsid w:val="004952A4"/>
    <w:rsid w:val="00495ED3"/>
    <w:rsid w:val="004A098A"/>
    <w:rsid w:val="004A239C"/>
    <w:rsid w:val="004A3416"/>
    <w:rsid w:val="004A546E"/>
    <w:rsid w:val="004B0364"/>
    <w:rsid w:val="004C4359"/>
    <w:rsid w:val="004D26A0"/>
    <w:rsid w:val="004D40EC"/>
    <w:rsid w:val="004D6D4B"/>
    <w:rsid w:val="004D729F"/>
    <w:rsid w:val="004E0026"/>
    <w:rsid w:val="004E062E"/>
    <w:rsid w:val="004E2136"/>
    <w:rsid w:val="004E3840"/>
    <w:rsid w:val="00500AB6"/>
    <w:rsid w:val="00501EA0"/>
    <w:rsid w:val="0050266D"/>
    <w:rsid w:val="00502D27"/>
    <w:rsid w:val="00511A96"/>
    <w:rsid w:val="00516339"/>
    <w:rsid w:val="005214C5"/>
    <w:rsid w:val="00523692"/>
    <w:rsid w:val="00535790"/>
    <w:rsid w:val="00547375"/>
    <w:rsid w:val="00550486"/>
    <w:rsid w:val="0055109F"/>
    <w:rsid w:val="0055324F"/>
    <w:rsid w:val="0055468A"/>
    <w:rsid w:val="005563F8"/>
    <w:rsid w:val="0056028F"/>
    <w:rsid w:val="00560AB1"/>
    <w:rsid w:val="0056186F"/>
    <w:rsid w:val="0056407A"/>
    <w:rsid w:val="00565B79"/>
    <w:rsid w:val="005742AF"/>
    <w:rsid w:val="0057495A"/>
    <w:rsid w:val="00580C41"/>
    <w:rsid w:val="00591176"/>
    <w:rsid w:val="005923A8"/>
    <w:rsid w:val="00594091"/>
    <w:rsid w:val="00594899"/>
    <w:rsid w:val="00596E76"/>
    <w:rsid w:val="005A2400"/>
    <w:rsid w:val="005A748F"/>
    <w:rsid w:val="005B3803"/>
    <w:rsid w:val="005B5B5B"/>
    <w:rsid w:val="005B7938"/>
    <w:rsid w:val="005C0A80"/>
    <w:rsid w:val="005C1D86"/>
    <w:rsid w:val="005C6BBC"/>
    <w:rsid w:val="005D2BA0"/>
    <w:rsid w:val="005D2F16"/>
    <w:rsid w:val="005D6674"/>
    <w:rsid w:val="005D7F6F"/>
    <w:rsid w:val="005E3412"/>
    <w:rsid w:val="005E3FFC"/>
    <w:rsid w:val="005F2042"/>
    <w:rsid w:val="00600864"/>
    <w:rsid w:val="006009EC"/>
    <w:rsid w:val="00607360"/>
    <w:rsid w:val="0061126C"/>
    <w:rsid w:val="00612CE5"/>
    <w:rsid w:val="006158C2"/>
    <w:rsid w:val="006168CF"/>
    <w:rsid w:val="006217F0"/>
    <w:rsid w:val="006225AD"/>
    <w:rsid w:val="00624411"/>
    <w:rsid w:val="00626B7D"/>
    <w:rsid w:val="00627346"/>
    <w:rsid w:val="00630E8A"/>
    <w:rsid w:val="0063291F"/>
    <w:rsid w:val="00634F2C"/>
    <w:rsid w:val="006360D0"/>
    <w:rsid w:val="00640E5D"/>
    <w:rsid w:val="00641EE3"/>
    <w:rsid w:val="00643588"/>
    <w:rsid w:val="006472DA"/>
    <w:rsid w:val="00650B3C"/>
    <w:rsid w:val="006539C0"/>
    <w:rsid w:val="006614C0"/>
    <w:rsid w:val="00664073"/>
    <w:rsid w:val="00682675"/>
    <w:rsid w:val="0068651A"/>
    <w:rsid w:val="00686BAB"/>
    <w:rsid w:val="00691AD1"/>
    <w:rsid w:val="006A45F2"/>
    <w:rsid w:val="006B052E"/>
    <w:rsid w:val="006B4EEB"/>
    <w:rsid w:val="006C14B8"/>
    <w:rsid w:val="006E535A"/>
    <w:rsid w:val="006F08D1"/>
    <w:rsid w:val="00702ABF"/>
    <w:rsid w:val="007122E6"/>
    <w:rsid w:val="0071573C"/>
    <w:rsid w:val="00716259"/>
    <w:rsid w:val="00716D9C"/>
    <w:rsid w:val="00720402"/>
    <w:rsid w:val="0072126D"/>
    <w:rsid w:val="00721D8B"/>
    <w:rsid w:val="00721D9B"/>
    <w:rsid w:val="00723D8F"/>
    <w:rsid w:val="00725433"/>
    <w:rsid w:val="007263D3"/>
    <w:rsid w:val="007278F4"/>
    <w:rsid w:val="007317F2"/>
    <w:rsid w:val="00734E54"/>
    <w:rsid w:val="00736272"/>
    <w:rsid w:val="0074733F"/>
    <w:rsid w:val="00747CF1"/>
    <w:rsid w:val="00753B93"/>
    <w:rsid w:val="007542A6"/>
    <w:rsid w:val="007556D7"/>
    <w:rsid w:val="00756301"/>
    <w:rsid w:val="00757A6C"/>
    <w:rsid w:val="00757AF8"/>
    <w:rsid w:val="00761913"/>
    <w:rsid w:val="00763A9B"/>
    <w:rsid w:val="007644B1"/>
    <w:rsid w:val="00770EE1"/>
    <w:rsid w:val="00780D04"/>
    <w:rsid w:val="00783A08"/>
    <w:rsid w:val="00785030"/>
    <w:rsid w:val="00785593"/>
    <w:rsid w:val="00791072"/>
    <w:rsid w:val="00794669"/>
    <w:rsid w:val="00795493"/>
    <w:rsid w:val="007A0BD7"/>
    <w:rsid w:val="007A21F4"/>
    <w:rsid w:val="007A2C64"/>
    <w:rsid w:val="007A4243"/>
    <w:rsid w:val="007A5487"/>
    <w:rsid w:val="007A6384"/>
    <w:rsid w:val="007B24B2"/>
    <w:rsid w:val="007B42B5"/>
    <w:rsid w:val="007B479C"/>
    <w:rsid w:val="007C2C57"/>
    <w:rsid w:val="007D20B1"/>
    <w:rsid w:val="007F1322"/>
    <w:rsid w:val="007F1B63"/>
    <w:rsid w:val="007F5ADD"/>
    <w:rsid w:val="007F6597"/>
    <w:rsid w:val="007F716D"/>
    <w:rsid w:val="00800001"/>
    <w:rsid w:val="0080145E"/>
    <w:rsid w:val="00802DBA"/>
    <w:rsid w:val="00805BF5"/>
    <w:rsid w:val="00807733"/>
    <w:rsid w:val="0081279D"/>
    <w:rsid w:val="0081341D"/>
    <w:rsid w:val="008146DE"/>
    <w:rsid w:val="00820313"/>
    <w:rsid w:val="00820B3C"/>
    <w:rsid w:val="00823F2E"/>
    <w:rsid w:val="00824DA2"/>
    <w:rsid w:val="00825F81"/>
    <w:rsid w:val="00827CFF"/>
    <w:rsid w:val="00840111"/>
    <w:rsid w:val="008424EA"/>
    <w:rsid w:val="00842C74"/>
    <w:rsid w:val="00847504"/>
    <w:rsid w:val="008503AB"/>
    <w:rsid w:val="008518D7"/>
    <w:rsid w:val="008569E2"/>
    <w:rsid w:val="00860CB8"/>
    <w:rsid w:val="0087082B"/>
    <w:rsid w:val="008712AD"/>
    <w:rsid w:val="00876F7B"/>
    <w:rsid w:val="008805ED"/>
    <w:rsid w:val="0088102A"/>
    <w:rsid w:val="00882C13"/>
    <w:rsid w:val="00885F29"/>
    <w:rsid w:val="00897D84"/>
    <w:rsid w:val="008A6141"/>
    <w:rsid w:val="008A7CCE"/>
    <w:rsid w:val="008B17FA"/>
    <w:rsid w:val="008B419A"/>
    <w:rsid w:val="008B52FE"/>
    <w:rsid w:val="008C1D2A"/>
    <w:rsid w:val="008C2A95"/>
    <w:rsid w:val="008C6592"/>
    <w:rsid w:val="008C67BD"/>
    <w:rsid w:val="008C718A"/>
    <w:rsid w:val="008D09C3"/>
    <w:rsid w:val="008D3EC7"/>
    <w:rsid w:val="008D3F67"/>
    <w:rsid w:val="008D6599"/>
    <w:rsid w:val="008E19AB"/>
    <w:rsid w:val="00905172"/>
    <w:rsid w:val="00905A13"/>
    <w:rsid w:val="00915894"/>
    <w:rsid w:val="00921231"/>
    <w:rsid w:val="009224EF"/>
    <w:rsid w:val="009228FD"/>
    <w:rsid w:val="00925187"/>
    <w:rsid w:val="0093173A"/>
    <w:rsid w:val="009321F5"/>
    <w:rsid w:val="009325E4"/>
    <w:rsid w:val="0093311A"/>
    <w:rsid w:val="009347F0"/>
    <w:rsid w:val="009356C1"/>
    <w:rsid w:val="00941572"/>
    <w:rsid w:val="009448F0"/>
    <w:rsid w:val="00945FCE"/>
    <w:rsid w:val="0095375D"/>
    <w:rsid w:val="00953FC3"/>
    <w:rsid w:val="0096544C"/>
    <w:rsid w:val="00973D85"/>
    <w:rsid w:val="00974A38"/>
    <w:rsid w:val="00975BB2"/>
    <w:rsid w:val="009778B2"/>
    <w:rsid w:val="00982094"/>
    <w:rsid w:val="009822A4"/>
    <w:rsid w:val="00985D25"/>
    <w:rsid w:val="00991C42"/>
    <w:rsid w:val="00992342"/>
    <w:rsid w:val="00995CED"/>
    <w:rsid w:val="009A7E9B"/>
    <w:rsid w:val="009B2419"/>
    <w:rsid w:val="009B5746"/>
    <w:rsid w:val="009C4198"/>
    <w:rsid w:val="009D06CA"/>
    <w:rsid w:val="009D0A34"/>
    <w:rsid w:val="009D2579"/>
    <w:rsid w:val="009D2C6C"/>
    <w:rsid w:val="009D3596"/>
    <w:rsid w:val="009D765A"/>
    <w:rsid w:val="009D7CDA"/>
    <w:rsid w:val="009E0E71"/>
    <w:rsid w:val="009E19FF"/>
    <w:rsid w:val="009E31EB"/>
    <w:rsid w:val="009E42E8"/>
    <w:rsid w:val="009E5A9C"/>
    <w:rsid w:val="009E7DA2"/>
    <w:rsid w:val="009F25A8"/>
    <w:rsid w:val="009F29C5"/>
    <w:rsid w:val="00A01BC5"/>
    <w:rsid w:val="00A02591"/>
    <w:rsid w:val="00A04271"/>
    <w:rsid w:val="00A0706D"/>
    <w:rsid w:val="00A07B94"/>
    <w:rsid w:val="00A07BB5"/>
    <w:rsid w:val="00A1051E"/>
    <w:rsid w:val="00A27931"/>
    <w:rsid w:val="00A310D3"/>
    <w:rsid w:val="00A32208"/>
    <w:rsid w:val="00A3261E"/>
    <w:rsid w:val="00A368B8"/>
    <w:rsid w:val="00A36FF5"/>
    <w:rsid w:val="00A452F1"/>
    <w:rsid w:val="00A45427"/>
    <w:rsid w:val="00A465B8"/>
    <w:rsid w:val="00A50A08"/>
    <w:rsid w:val="00A55903"/>
    <w:rsid w:val="00A61801"/>
    <w:rsid w:val="00A62846"/>
    <w:rsid w:val="00A6351B"/>
    <w:rsid w:val="00A70673"/>
    <w:rsid w:val="00A744AD"/>
    <w:rsid w:val="00A75007"/>
    <w:rsid w:val="00A77C44"/>
    <w:rsid w:val="00A86DA9"/>
    <w:rsid w:val="00A9054B"/>
    <w:rsid w:val="00AA028B"/>
    <w:rsid w:val="00AA1D4D"/>
    <w:rsid w:val="00AA4472"/>
    <w:rsid w:val="00AA733F"/>
    <w:rsid w:val="00AA7BE1"/>
    <w:rsid w:val="00AB6476"/>
    <w:rsid w:val="00AC13FE"/>
    <w:rsid w:val="00AC4525"/>
    <w:rsid w:val="00AC496D"/>
    <w:rsid w:val="00AE137B"/>
    <w:rsid w:val="00AE3AB4"/>
    <w:rsid w:val="00AE5EFD"/>
    <w:rsid w:val="00AE60F3"/>
    <w:rsid w:val="00AF092E"/>
    <w:rsid w:val="00AF338F"/>
    <w:rsid w:val="00AF7658"/>
    <w:rsid w:val="00AF78F4"/>
    <w:rsid w:val="00B01746"/>
    <w:rsid w:val="00B0185B"/>
    <w:rsid w:val="00B02A8F"/>
    <w:rsid w:val="00B11064"/>
    <w:rsid w:val="00B11B58"/>
    <w:rsid w:val="00B14AD7"/>
    <w:rsid w:val="00B23192"/>
    <w:rsid w:val="00B2701A"/>
    <w:rsid w:val="00B27CC1"/>
    <w:rsid w:val="00B323D5"/>
    <w:rsid w:val="00B3647B"/>
    <w:rsid w:val="00B573B5"/>
    <w:rsid w:val="00B60FAF"/>
    <w:rsid w:val="00B6779C"/>
    <w:rsid w:val="00B711D7"/>
    <w:rsid w:val="00B727E1"/>
    <w:rsid w:val="00B7466B"/>
    <w:rsid w:val="00B74AFB"/>
    <w:rsid w:val="00B83939"/>
    <w:rsid w:val="00B92169"/>
    <w:rsid w:val="00B935F0"/>
    <w:rsid w:val="00B96CE4"/>
    <w:rsid w:val="00BA102A"/>
    <w:rsid w:val="00BA5243"/>
    <w:rsid w:val="00BA554D"/>
    <w:rsid w:val="00BA6434"/>
    <w:rsid w:val="00BA65FC"/>
    <w:rsid w:val="00BB32D9"/>
    <w:rsid w:val="00BB47B5"/>
    <w:rsid w:val="00BC42D3"/>
    <w:rsid w:val="00BC616D"/>
    <w:rsid w:val="00BC6551"/>
    <w:rsid w:val="00BC7635"/>
    <w:rsid w:val="00BD504C"/>
    <w:rsid w:val="00BE2EB7"/>
    <w:rsid w:val="00BE40DE"/>
    <w:rsid w:val="00BF3929"/>
    <w:rsid w:val="00BF5CF5"/>
    <w:rsid w:val="00BF60AE"/>
    <w:rsid w:val="00BF78D7"/>
    <w:rsid w:val="00C00DFA"/>
    <w:rsid w:val="00C02B48"/>
    <w:rsid w:val="00C03498"/>
    <w:rsid w:val="00C05EC7"/>
    <w:rsid w:val="00C0691C"/>
    <w:rsid w:val="00C06C5A"/>
    <w:rsid w:val="00C143F2"/>
    <w:rsid w:val="00C15F7C"/>
    <w:rsid w:val="00C27D59"/>
    <w:rsid w:val="00C32B12"/>
    <w:rsid w:val="00C34FB2"/>
    <w:rsid w:val="00C361A2"/>
    <w:rsid w:val="00C4080B"/>
    <w:rsid w:val="00C44C79"/>
    <w:rsid w:val="00C452B5"/>
    <w:rsid w:val="00C45FE1"/>
    <w:rsid w:val="00C51EFB"/>
    <w:rsid w:val="00C52240"/>
    <w:rsid w:val="00C54532"/>
    <w:rsid w:val="00C5455C"/>
    <w:rsid w:val="00C636F0"/>
    <w:rsid w:val="00C87D54"/>
    <w:rsid w:val="00CA04C7"/>
    <w:rsid w:val="00CA176D"/>
    <w:rsid w:val="00CA229E"/>
    <w:rsid w:val="00CA360C"/>
    <w:rsid w:val="00CA51D6"/>
    <w:rsid w:val="00CB0716"/>
    <w:rsid w:val="00CB16A0"/>
    <w:rsid w:val="00CB5DC3"/>
    <w:rsid w:val="00CB7F95"/>
    <w:rsid w:val="00CC2811"/>
    <w:rsid w:val="00CC545C"/>
    <w:rsid w:val="00CD002C"/>
    <w:rsid w:val="00CD50F5"/>
    <w:rsid w:val="00CE18CE"/>
    <w:rsid w:val="00CE2BDE"/>
    <w:rsid w:val="00CE71AA"/>
    <w:rsid w:val="00CF0E41"/>
    <w:rsid w:val="00CF2107"/>
    <w:rsid w:val="00CF360B"/>
    <w:rsid w:val="00CF7D85"/>
    <w:rsid w:val="00D00BB0"/>
    <w:rsid w:val="00D03E69"/>
    <w:rsid w:val="00D04C31"/>
    <w:rsid w:val="00D114DB"/>
    <w:rsid w:val="00D22304"/>
    <w:rsid w:val="00D27650"/>
    <w:rsid w:val="00D30398"/>
    <w:rsid w:val="00D30DF8"/>
    <w:rsid w:val="00D33297"/>
    <w:rsid w:val="00D42116"/>
    <w:rsid w:val="00D44F66"/>
    <w:rsid w:val="00D50096"/>
    <w:rsid w:val="00D53395"/>
    <w:rsid w:val="00D578E0"/>
    <w:rsid w:val="00D63AEE"/>
    <w:rsid w:val="00D67DDC"/>
    <w:rsid w:val="00D70E2A"/>
    <w:rsid w:val="00D76A85"/>
    <w:rsid w:val="00D80E92"/>
    <w:rsid w:val="00D853DE"/>
    <w:rsid w:val="00D870EB"/>
    <w:rsid w:val="00D94202"/>
    <w:rsid w:val="00D95CFA"/>
    <w:rsid w:val="00DA2215"/>
    <w:rsid w:val="00DA2312"/>
    <w:rsid w:val="00DA50AC"/>
    <w:rsid w:val="00DA56E6"/>
    <w:rsid w:val="00DB0C92"/>
    <w:rsid w:val="00DB0DF9"/>
    <w:rsid w:val="00DB2F5E"/>
    <w:rsid w:val="00DB440A"/>
    <w:rsid w:val="00DB7632"/>
    <w:rsid w:val="00DC44D5"/>
    <w:rsid w:val="00DC5BEE"/>
    <w:rsid w:val="00DC7061"/>
    <w:rsid w:val="00DD1335"/>
    <w:rsid w:val="00DD18FC"/>
    <w:rsid w:val="00DD1911"/>
    <w:rsid w:val="00DD2B52"/>
    <w:rsid w:val="00DD2EC0"/>
    <w:rsid w:val="00DD53E3"/>
    <w:rsid w:val="00DE139C"/>
    <w:rsid w:val="00DE23D5"/>
    <w:rsid w:val="00DE6BCC"/>
    <w:rsid w:val="00DF0F29"/>
    <w:rsid w:val="00DF38FC"/>
    <w:rsid w:val="00DF5073"/>
    <w:rsid w:val="00DF7591"/>
    <w:rsid w:val="00DF7644"/>
    <w:rsid w:val="00DF7BD8"/>
    <w:rsid w:val="00E006C7"/>
    <w:rsid w:val="00E0539A"/>
    <w:rsid w:val="00E14A10"/>
    <w:rsid w:val="00E1660C"/>
    <w:rsid w:val="00E16ADD"/>
    <w:rsid w:val="00E20861"/>
    <w:rsid w:val="00E348C2"/>
    <w:rsid w:val="00E42A23"/>
    <w:rsid w:val="00E45F6F"/>
    <w:rsid w:val="00E510F8"/>
    <w:rsid w:val="00E62118"/>
    <w:rsid w:val="00E65161"/>
    <w:rsid w:val="00E65DCA"/>
    <w:rsid w:val="00E65E88"/>
    <w:rsid w:val="00E6642D"/>
    <w:rsid w:val="00E70D69"/>
    <w:rsid w:val="00E71171"/>
    <w:rsid w:val="00E72794"/>
    <w:rsid w:val="00E75E61"/>
    <w:rsid w:val="00E81961"/>
    <w:rsid w:val="00E82C86"/>
    <w:rsid w:val="00E8338E"/>
    <w:rsid w:val="00E84A82"/>
    <w:rsid w:val="00E9039B"/>
    <w:rsid w:val="00E90467"/>
    <w:rsid w:val="00E95A36"/>
    <w:rsid w:val="00E9734D"/>
    <w:rsid w:val="00EA06A7"/>
    <w:rsid w:val="00EA09AF"/>
    <w:rsid w:val="00EA5B30"/>
    <w:rsid w:val="00EB1E76"/>
    <w:rsid w:val="00EB3336"/>
    <w:rsid w:val="00EB5AA4"/>
    <w:rsid w:val="00EB60DF"/>
    <w:rsid w:val="00EB791C"/>
    <w:rsid w:val="00EC12E1"/>
    <w:rsid w:val="00EC1694"/>
    <w:rsid w:val="00EC1A09"/>
    <w:rsid w:val="00EC22CA"/>
    <w:rsid w:val="00EC38D4"/>
    <w:rsid w:val="00EC4103"/>
    <w:rsid w:val="00EC6C5D"/>
    <w:rsid w:val="00ED3E5D"/>
    <w:rsid w:val="00ED6F6F"/>
    <w:rsid w:val="00EE6D89"/>
    <w:rsid w:val="00EF3944"/>
    <w:rsid w:val="00EF70C4"/>
    <w:rsid w:val="00EF743D"/>
    <w:rsid w:val="00EF7853"/>
    <w:rsid w:val="00F02B3C"/>
    <w:rsid w:val="00F1062F"/>
    <w:rsid w:val="00F13B53"/>
    <w:rsid w:val="00F170E3"/>
    <w:rsid w:val="00F220C8"/>
    <w:rsid w:val="00F30E75"/>
    <w:rsid w:val="00F371C9"/>
    <w:rsid w:val="00F50392"/>
    <w:rsid w:val="00F512D3"/>
    <w:rsid w:val="00F56525"/>
    <w:rsid w:val="00F56528"/>
    <w:rsid w:val="00F60754"/>
    <w:rsid w:val="00F60D21"/>
    <w:rsid w:val="00F630F9"/>
    <w:rsid w:val="00F678D2"/>
    <w:rsid w:val="00F7093D"/>
    <w:rsid w:val="00F72363"/>
    <w:rsid w:val="00F82BEB"/>
    <w:rsid w:val="00F83AE8"/>
    <w:rsid w:val="00F852BE"/>
    <w:rsid w:val="00F86ED0"/>
    <w:rsid w:val="00F927E2"/>
    <w:rsid w:val="00F92800"/>
    <w:rsid w:val="00F948EC"/>
    <w:rsid w:val="00F95AC3"/>
    <w:rsid w:val="00F96CE7"/>
    <w:rsid w:val="00FA015D"/>
    <w:rsid w:val="00FA6EF2"/>
    <w:rsid w:val="00FB2D49"/>
    <w:rsid w:val="00FB3A47"/>
    <w:rsid w:val="00FC072C"/>
    <w:rsid w:val="00FC0FAD"/>
    <w:rsid w:val="00FC6358"/>
    <w:rsid w:val="00FC78A9"/>
    <w:rsid w:val="00FD0CDE"/>
    <w:rsid w:val="00FD6D3A"/>
    <w:rsid w:val="00FD7B4E"/>
    <w:rsid w:val="00FE053B"/>
    <w:rsid w:val="00FE3D39"/>
    <w:rsid w:val="00FE6519"/>
    <w:rsid w:val="00FF0918"/>
    <w:rsid w:val="00FF6B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442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4A239C"/>
  </w:style>
  <w:style w:type="paragraph" w:styleId="Pealkiri1">
    <w:name w:val="heading 1"/>
    <w:basedOn w:val="Normaallaad"/>
    <w:next w:val="Normaallaad"/>
    <w:link w:val="Pealkiri1Mrk"/>
    <w:uiPriority w:val="9"/>
    <w:qFormat/>
    <w:rsid w:val="00D42116"/>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lang w:val="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820313"/>
    <w:pPr>
      <w:tabs>
        <w:tab w:val="center" w:pos="4680"/>
        <w:tab w:val="right" w:pos="9360"/>
      </w:tabs>
      <w:spacing w:after="0" w:line="240" w:lineRule="auto"/>
    </w:pPr>
  </w:style>
  <w:style w:type="character" w:customStyle="1" w:styleId="PisMrk">
    <w:name w:val="Päis Märk"/>
    <w:basedOn w:val="Liguvaikefont"/>
    <w:link w:val="Pis"/>
    <w:uiPriority w:val="99"/>
    <w:rsid w:val="00820313"/>
  </w:style>
  <w:style w:type="paragraph" w:styleId="Jalus">
    <w:name w:val="footer"/>
    <w:basedOn w:val="Normaallaad"/>
    <w:link w:val="JalusMrk"/>
    <w:uiPriority w:val="99"/>
    <w:unhideWhenUsed/>
    <w:rsid w:val="00FD0CDE"/>
    <w:pPr>
      <w:tabs>
        <w:tab w:val="center" w:pos="4680"/>
        <w:tab w:val="right" w:pos="9360"/>
      </w:tabs>
      <w:spacing w:after="0" w:line="240" w:lineRule="auto"/>
    </w:pPr>
    <w:rPr>
      <w:sz w:val="16"/>
    </w:rPr>
  </w:style>
  <w:style w:type="character" w:customStyle="1" w:styleId="JalusMrk">
    <w:name w:val="Jalus Märk"/>
    <w:basedOn w:val="Liguvaikefont"/>
    <w:link w:val="Jalus"/>
    <w:uiPriority w:val="99"/>
    <w:rsid w:val="00FD0CDE"/>
    <w:rPr>
      <w:sz w:val="16"/>
    </w:rPr>
  </w:style>
  <w:style w:type="character" w:customStyle="1" w:styleId="Pealkiri1Mrk">
    <w:name w:val="Pealkiri 1 Märk"/>
    <w:basedOn w:val="Liguvaikefont"/>
    <w:link w:val="Pealkiri1"/>
    <w:uiPriority w:val="9"/>
    <w:rsid w:val="00D42116"/>
    <w:rPr>
      <w:rFonts w:asciiTheme="majorHAnsi" w:eastAsiaTheme="majorEastAsia" w:hAnsiTheme="majorHAnsi" w:cstheme="majorBidi"/>
      <w:color w:val="2E74B5" w:themeColor="accent1" w:themeShade="BF"/>
      <w:sz w:val="32"/>
      <w:szCs w:val="32"/>
      <w:lang w:val="et-EE"/>
    </w:rPr>
  </w:style>
  <w:style w:type="paragraph" w:styleId="Jutumullitekst">
    <w:name w:val="Balloon Text"/>
    <w:basedOn w:val="Normaallaad"/>
    <w:link w:val="JutumullitekstMrk"/>
    <w:uiPriority w:val="99"/>
    <w:semiHidden/>
    <w:unhideWhenUsed/>
    <w:rsid w:val="00D42116"/>
    <w:pPr>
      <w:spacing w:after="0" w:line="240" w:lineRule="auto"/>
    </w:pPr>
    <w:rPr>
      <w:rFonts w:ascii="Tahoma" w:hAnsi="Tahoma" w:cs="Tahoma"/>
      <w:sz w:val="16"/>
      <w:szCs w:val="16"/>
    </w:rPr>
  </w:style>
  <w:style w:type="character" w:customStyle="1" w:styleId="JutumullitekstMrk">
    <w:name w:val="Jutumullitekst Märk"/>
    <w:basedOn w:val="Liguvaikefont"/>
    <w:link w:val="Jutumullitekst"/>
    <w:uiPriority w:val="99"/>
    <w:semiHidden/>
    <w:rsid w:val="00D42116"/>
    <w:rPr>
      <w:rFonts w:ascii="Tahoma" w:hAnsi="Tahoma" w:cs="Tahoma"/>
      <w:sz w:val="16"/>
      <w:szCs w:val="16"/>
    </w:rPr>
  </w:style>
  <w:style w:type="paragraph" w:styleId="Loendilik">
    <w:name w:val="List Paragraph"/>
    <w:basedOn w:val="Normaallaad"/>
    <w:uiPriority w:val="34"/>
    <w:qFormat/>
    <w:rsid w:val="00D42116"/>
    <w:pPr>
      <w:ind w:left="720"/>
      <w:contextualSpacing/>
    </w:pPr>
  </w:style>
  <w:style w:type="character" w:styleId="Hperlink">
    <w:name w:val="Hyperlink"/>
    <w:basedOn w:val="Liguvaikefont"/>
    <w:uiPriority w:val="99"/>
    <w:unhideWhenUsed/>
    <w:rsid w:val="00EC12E1"/>
    <w:rPr>
      <w:color w:val="0563C1" w:themeColor="hyperlink"/>
      <w:u w:val="single"/>
    </w:rPr>
  </w:style>
  <w:style w:type="paragraph" w:styleId="Allmrkusetekst">
    <w:name w:val="footnote text"/>
    <w:basedOn w:val="Normaallaad"/>
    <w:link w:val="AllmrkusetekstMrk"/>
    <w:uiPriority w:val="99"/>
    <w:semiHidden/>
    <w:unhideWhenUsed/>
    <w:rsid w:val="00202075"/>
    <w:pPr>
      <w:spacing w:after="0" w:line="240" w:lineRule="auto"/>
    </w:pPr>
    <w:rPr>
      <w:sz w:val="20"/>
      <w:szCs w:val="20"/>
    </w:rPr>
  </w:style>
  <w:style w:type="character" w:customStyle="1" w:styleId="AllmrkusetekstMrk">
    <w:name w:val="Allmärkuse tekst Märk"/>
    <w:basedOn w:val="Liguvaikefont"/>
    <w:link w:val="Allmrkusetekst"/>
    <w:uiPriority w:val="99"/>
    <w:semiHidden/>
    <w:rsid w:val="00202075"/>
    <w:rPr>
      <w:sz w:val="20"/>
      <w:szCs w:val="20"/>
    </w:rPr>
  </w:style>
  <w:style w:type="character" w:styleId="Allmrkuseviide">
    <w:name w:val="footnote reference"/>
    <w:basedOn w:val="Liguvaikefont"/>
    <w:uiPriority w:val="99"/>
    <w:semiHidden/>
    <w:unhideWhenUsed/>
    <w:rsid w:val="00202075"/>
    <w:rPr>
      <w:vertAlign w:val="superscript"/>
    </w:rPr>
  </w:style>
  <w:style w:type="character" w:styleId="Lahendamatamainimine">
    <w:name w:val="Unresolved Mention"/>
    <w:basedOn w:val="Liguvaikefont"/>
    <w:uiPriority w:val="99"/>
    <w:semiHidden/>
    <w:unhideWhenUsed/>
    <w:rsid w:val="00A61801"/>
    <w:rPr>
      <w:color w:val="605E5C"/>
      <w:shd w:val="clear" w:color="auto" w:fill="E1DFDD"/>
    </w:rPr>
  </w:style>
  <w:style w:type="paragraph" w:customStyle="1" w:styleId="Default">
    <w:name w:val="Default"/>
    <w:rsid w:val="00A368B8"/>
    <w:pPr>
      <w:autoSpaceDE w:val="0"/>
      <w:autoSpaceDN w:val="0"/>
      <w:adjustRightInd w:val="0"/>
      <w:spacing w:after="0" w:line="240" w:lineRule="auto"/>
    </w:pPr>
    <w:rPr>
      <w:rFonts w:ascii="Arial" w:hAnsi="Arial" w:cs="Arial"/>
      <w:color w:val="000000"/>
      <w:sz w:val="24"/>
      <w:szCs w:val="24"/>
      <w:lang w:val="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just.ee"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marko.udras@koda.ee" TargetMode="External"/><Relationship Id="rId4" Type="http://schemas.openxmlformats.org/officeDocument/2006/relationships/settings" Target="settings.xml"/><Relationship Id="rId9" Type="http://schemas.openxmlformats.org/officeDocument/2006/relationships/hyperlink" Target="mailto:Kadi.Karus@just.ee"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ENTERPRISE-EUROPE.E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DA">
      <a:majorFont>
        <a:latin typeface="DINPro"/>
        <a:ea typeface=""/>
        <a:cs typeface=""/>
      </a:majorFont>
      <a:minorFont>
        <a:latin typeface="DINPr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D42E49-277C-4845-9492-BF1082BCA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2608</Words>
  <Characters>15129</Characters>
  <Application>Microsoft Office Word</Application>
  <DocSecurity>0</DocSecurity>
  <Lines>126</Lines>
  <Paragraphs>35</Paragraphs>
  <ScaleCrop>false</ScaleCrop>
  <HeadingPairs>
    <vt:vector size="6" baseType="variant">
      <vt:variant>
        <vt:lpstr>Pealkiri</vt:lpstr>
      </vt:variant>
      <vt:variant>
        <vt:i4>1</vt:i4>
      </vt:variant>
      <vt:variant>
        <vt:lpstr>Title</vt:lpstr>
      </vt:variant>
      <vt:variant>
        <vt:i4>1</vt:i4>
      </vt:variant>
      <vt:variant>
        <vt:lpstr>Tiitel</vt:lpstr>
      </vt:variant>
      <vt:variant>
        <vt:i4>1</vt:i4>
      </vt:variant>
    </vt:vector>
  </HeadingPairs>
  <TitlesOfParts>
    <vt:vector size="3" baseType="lpstr">
      <vt:lpstr/>
      <vt:lpstr/>
      <vt:lpstr/>
    </vt:vector>
  </TitlesOfParts>
  <LinksUpToDate>false</LinksUpToDate>
  <CharactersWithSpaces>17702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2023-04-18T06:01:00Z</dcterms:created>
  <dcterms:modified xsi:type="dcterms:W3CDTF">2023-04-26T13:14:00Z</dcterms:modified>
</cp:coreProperties>
</file>